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FCA Contexts (Ctx, Obj, Attr): P(S, O), S(P, O), O(P, S) Contexts.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AMUW2mXnsAv/0qTiYAr1+Om5ZeaUeCzqARwiIk/1pFSItxKHcEtCoaYnHXPuWBhP8ahgpNECP12hn/FU2UXZASgo2TLK/o5KpiqdOwELANKJgn9YXNA43LQ=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