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53">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54">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59">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5A">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5B">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5C">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61">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9">
      <w:pPr>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1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2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2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2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2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2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2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2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2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2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2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0E">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9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A2">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CE">
      <w:pPr>
        <w:rPr>
          <w:u w:val="single"/>
        </w:rPr>
      </w:pPr>
      <w:r w:rsidDel="00000000" w:rsidR="00000000" w:rsidRPr="00000000">
        <w:rPr>
          <w:rtl w:val="0"/>
        </w:rPr>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3D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3E0">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2E">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2F">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30">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31">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32">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