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AMUW2mUJlTx7o859O9G6rmVmovMY4uWWo/bzzHsHxmfEZu/sh1lNtueUdxF/XYaGnUgYxLHEmY69YcZFLDMzj+2/GIFDGCUvWll4gUDP8geMtZVAYPKmQjg=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