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AMUW2mXEKdGxMKhx8dxt+P5tvaSathUFccjXF+hEbftyf69dp2U2dvR9bSm1QC6jYkBWp6+B0vQdPmjlSsdczuiyK1uw9dzzY1utp59w7COI4gwm4QI6gx8=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