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(SPOResource, Occurrence, Kind : Quads relative to container SPOs);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(ContextResource, Occurrence, Kind : SPOs relative to container Quad);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AMUW2mUAIcoAAHSY/QBeecFufeFwJX4STzx72kzUY89e1sbW5r6nFyHJebf4qQfhyAT7o33tHfWdmjnjhUcGRV7nsUxpsXWdsji/KDolPk0xd0k31gHP4Eo=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