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SubjectResource, etc.&gt;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KindMonad&lt;KindClass, SubjectKind, etc.&gt; Monad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OccurrenceMonad&lt;QuadClass : Subject, etc.&gt; Monad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CSPO Resource Interfaces classes quad. Builder fluent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ISubject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(ISubjectKind, ISubject, IPredicateKind, IObjectKind) : Quad, ISubject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(IState, ISubjectKind, IPredicate, IObject) : ISubjectKind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IPredicate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(IPredicateKind, ISubjectKind, IPredicate, IObjectKind) : Quad, ISubject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(IState, ISubject, IPredicateKind, IObject) : ISubjectKind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IObject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(ISubjectKind, ISubject, IPredicateKind, IObjectKind) : Quad, ISubject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(IState, ISubject, IPredicate, IObjectKind) : ISubjectKind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IStatement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 (IStatementKind, IPredicate, ISubject, IObject) : IQuad, IStatement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(IState, PK of SK, OK: Relation, SK, OK) : IStatementKind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IMapping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(IMappingKind, IStatementKind, ISubject, IPredicate) : IQuad, IMapping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 (IState, SK of PK, OK: Schema, PK, OK) : IMappingKind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(ITransformKind, IMappingKind, IPredicate, IObject) : IQuad, ITransform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 (IState, OK of SK, PK: Behavior, SK, PK);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State, Kind, Quad,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Quad, Kind, State, Statement, Mapping, Transform);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AMUW2mUBbHktmUwc5gCR7cTjXIg1TX0B+szj3XbyFt3MtyhjwkDX+rwJl/5ZwVBIFfyP1jaUsEZz9+Ygf3E1VXd/uOmJwWWxFReN5Td6FGjOModNDQHtX8I=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