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is a fascinating and mathematically rigorous approach to enterprise integration. As an AI, I can certainly synthesize the architectural blueprint and mathematical specifications from the provided documentation.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the implementation-phase specification for the Semantic Web / GenAI enabled Enterprise Application Integration (EAI) framework, focusing on the reactive stream architecture and the algebraic embedding models.</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1. Core Architecture and Reactive Streaming Layout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framework operates on a functional/reactive, stream-oriented architecture designed to process "Large Graph" data in real time. It avoids traditional point-to-point integrations, favoring a unified event-driven pipeline.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Single Topic / Blackboard Pattern</w:t>
      </w:r>
      <w:r w:rsidDel="00000000" w:rsidR="00000000" w:rsidRPr="00000000">
        <w:rPr>
          <w:rFonts w:ascii="Google Sans" w:cs="Google Sans" w:eastAsia="Google Sans" w:hAnsi="Google Sans"/>
          <w:color w:val="1f1f1f"/>
          <w:rtl w:val="0"/>
        </w:rPr>
        <w:t xml:space="preserve">: The core stream operates on a single-topic architecture leveraging the Blackboard design pattern. Services communicate by publishing and subscribing to Model Events (in the form of Reference Model Statements).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Main Event Loop</w:t>
      </w:r>
      <w:r w:rsidDel="00000000" w:rsidR="00000000" w:rsidRPr="00000000">
        <w:rPr>
          <w:rFonts w:ascii="Google Sans" w:cs="Google Sans" w:eastAsia="Google Sans" w:hAnsi="Google Sans"/>
          <w:color w:val="1f1f1f"/>
          <w:rtl w:val="0"/>
        </w:rPr>
        <w:t xml:space="preserve">: Data flows through a continuous cycle of Aggregation, Alignment, and Activation stream nodes. Each node consumes a Model Event, unfolds the context, applies functional transformations (Augmentation), and publishes the augmented Model Event back to the topic.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Resource Monad API</w:t>
      </w:r>
      <w:r w:rsidDel="00000000" w:rsidR="00000000" w:rsidRPr="00000000">
        <w:rPr>
          <w:rFonts w:ascii="Google Sans" w:cs="Google Sans" w:eastAsia="Google Sans" w:hAnsi="Google Sans"/>
          <w:color w:val="1f1f1f"/>
          <w:rtl w:val="0"/>
        </w:rPr>
        <w:t xml:space="preserve">: To handle the complexity of traversing and augmenting graph structures, the framework uses a functional wrapper called the </w:t>
      </w:r>
      <w:r w:rsidDel="00000000" w:rsidR="00000000" w:rsidRPr="00000000">
        <w:rPr>
          <w:rFonts w:ascii="Google Sans" w:cs="Google Sans" w:eastAsia="Google Sans" w:hAnsi="Google Sans"/>
          <w:color w:val="444746"/>
          <w:rtl w:val="0"/>
        </w:rPr>
        <w:t xml:space="preserve">Resource Monad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rtl w:val="0"/>
        </w:rPr>
        <w:t xml:space="preserve">Resource&lt;ResourceOccurrence&gt;</w:t>
      </w:r>
      <w:r w:rsidDel="00000000" w:rsidR="00000000" w:rsidRPr="00000000">
        <w:rPr>
          <w:rFonts w:ascii="Google Sans" w:cs="Google Sans" w:eastAsia="Google Sans" w:hAnsi="Google Sans"/>
          <w:color w:val="1f1f1f"/>
          <w:rtl w:val="0"/>
        </w:rPr>
        <w:t xml:space="preserve">). This monad safely encapsulates successive occurrence events, getter methods, and context transformations, allowing nodes to map and fold data without breaking the reactive stream.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2. Component &amp; Service Blueprint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framework is divided into distinct microservices, orchestrated by application and augmentation layers.</w:t>
      </w:r>
    </w:p>
    <w:p w:rsidR="00000000" w:rsidDel="00000000" w:rsidP="00000000" w:rsidRDefault="00000000" w:rsidRPr="00000000" w14:paraId="0000000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4"/>
          <w:szCs w:val="24"/>
        </w:rPr>
      </w:pPr>
      <w:r w:rsidDel="00000000" w:rsidR="00000000" w:rsidRPr="00000000">
        <w:rPr>
          <w:rFonts w:ascii="Google Sans" w:cs="Google Sans" w:eastAsia="Google Sans" w:hAnsi="Google Sans"/>
          <w:b w:val="1"/>
          <w:bCs w:val="1"/>
          <w:i w:val="0"/>
          <w:iCs w:val="0"/>
          <w:color w:val="1f1f1f"/>
          <w:sz w:val="24"/>
          <w:szCs w:val="24"/>
          <w:rtl w:val="0"/>
        </w:rPr>
        <w:t xml:space="preserve">Data Ingestion &amp; Orchestration</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Datasource Service</w:t>
      </w:r>
      <w:r w:rsidDel="00000000" w:rsidR="00000000" w:rsidRPr="00000000">
        <w:rPr>
          <w:rFonts w:ascii="Google Sans" w:cs="Google Sans" w:eastAsia="Google Sans" w:hAnsi="Google Sans"/>
          <w:color w:val="1f1f1f"/>
          <w:rtl w:val="0"/>
        </w:rPr>
        <w:t xml:space="preserve">: Connects to legacy backends via ETL, parsing raw tabular, XML, JSON, or graph data into raw statements (Subject, Predicate, Object). It also handles "write-backs" to keep source systems synchronized with transaction outcomes.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Application Service</w:t>
      </w:r>
      <w:r w:rsidDel="00000000" w:rsidR="00000000" w:rsidRPr="00000000">
        <w:rPr>
          <w:rFonts w:ascii="Google Sans" w:cs="Google Sans" w:eastAsia="Google Sans" w:hAnsi="Google Sans"/>
          <w:color w:val="1f1f1f"/>
          <w:rtl w:val="0"/>
        </w:rPr>
        <w:t xml:space="preserve">: Acts as the master orchestrator, sitting between the Datasource, Augmentation, and Producer services.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Augmentation Service</w:t>
      </w:r>
      <w:r w:rsidDel="00000000" w:rsidR="00000000" w:rsidRPr="00000000">
        <w:rPr>
          <w:rFonts w:ascii="Google Sans" w:cs="Google Sans" w:eastAsia="Google Sans" w:hAnsi="Google Sans"/>
          <w:color w:val="1f1f1f"/>
          <w:rtl w:val="0"/>
        </w:rPr>
        <w:t xml:space="preserve">: Manages the reactive pipeline, dispatching statements sequentially through the Aggregation, Alignment, and Activation services.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F">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i w:val="0"/>
          <w:iCs w:val="0"/>
          <w:color w:val="1f1f1f"/>
          <w:sz w:val="24"/>
          <w:szCs w:val="24"/>
        </w:rPr>
      </w:pPr>
      <w:r w:rsidDel="00000000" w:rsidR="00000000" w:rsidRPr="00000000">
        <w:rPr>
          <w:rFonts w:ascii="Google Sans" w:cs="Google Sans" w:eastAsia="Google Sans" w:hAnsi="Google Sans"/>
          <w:b w:val="1"/>
          <w:bCs w:val="1"/>
          <w:i w:val="0"/>
          <w:iCs w:val="0"/>
          <w:color w:val="1f1f1f"/>
          <w:sz w:val="24"/>
          <w:szCs w:val="24"/>
          <w:rtl w:val="0"/>
        </w:rPr>
        <w:t xml:space="preserve">The Augmentation Pipeline</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Aggregation Service (Type/State Inference)</w:t>
      </w:r>
      <w:r w:rsidDel="00000000" w:rsidR="00000000" w:rsidRPr="00000000">
        <w:rPr>
          <w:rFonts w:ascii="Google Sans" w:cs="Google Sans" w:eastAsia="Google Sans" w:hAnsi="Google Sans"/>
          <w:color w:val="1f1f1f"/>
          <w:rtl w:val="0"/>
        </w:rPr>
        <w:t xml:space="preserve">: Receives raw triples and assigns W3C DIDs and prime number IDs. It uses Formal Concept Analysis (FCA) to cluster common attributes, inferring "Types" (entities with the same attributes) and "States" (entities with the same attribute values).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Alignment Service (Ontology Matching)</w:t>
      </w:r>
      <w:r w:rsidDel="00000000" w:rsidR="00000000" w:rsidRPr="00000000">
        <w:rPr>
          <w:rFonts w:ascii="Google Sans" w:cs="Google Sans" w:eastAsia="Google Sans" w:hAnsi="Google Sans"/>
          <w:color w:val="1f1f1f"/>
          <w:rtl w:val="0"/>
        </w:rPr>
        <w:t xml:space="preserve">: Consumes aggregated statements and infers missing links and equivalence. It maps the inferred schemas to an "Upper Ontology," enabling cross-application data domains to understand each other.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Activation Service (DCI Execution)</w:t>
      </w:r>
      <w:r w:rsidDel="00000000" w:rsidR="00000000" w:rsidRPr="00000000">
        <w:rPr>
          <w:rFonts w:ascii="Google Sans" w:cs="Google Sans" w:eastAsia="Google Sans" w:hAnsi="Google Sans"/>
          <w:color w:val="1f1f1f"/>
          <w:rtl w:val="0"/>
        </w:rPr>
        <w:t xml:space="preserve">: Translates the aligned graph into executable use-cases using the Data, Context, and Interaction (DCI) pattern. It determines what "Verbs" or transformations are available for a given Actor playing a specific Role within a Context.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3">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i w:val="0"/>
          <w:iCs w:val="0"/>
          <w:color w:val="1f1f1f"/>
          <w:sz w:val="24"/>
          <w:szCs w:val="24"/>
        </w:rPr>
      </w:pPr>
      <w:r w:rsidDel="00000000" w:rsidR="00000000" w:rsidRPr="00000000">
        <w:rPr>
          <w:rFonts w:ascii="Google Sans" w:cs="Google Sans" w:eastAsia="Google Sans" w:hAnsi="Google Sans"/>
          <w:b w:val="1"/>
          <w:bCs w:val="1"/>
          <w:i w:val="0"/>
          <w:iCs w:val="0"/>
          <w:color w:val="1f1f1f"/>
          <w:sz w:val="24"/>
          <w:szCs w:val="24"/>
          <w:rtl w:val="0"/>
        </w:rPr>
        <w:t xml:space="preserve">Exposure &amp; Helper Services</w:t>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Producer Service</w:t>
      </w:r>
      <w:r w:rsidDel="00000000" w:rsidR="00000000" w:rsidRPr="00000000">
        <w:rPr>
          <w:rFonts w:ascii="Google Sans" w:cs="Google Sans" w:eastAsia="Google Sans" w:hAnsi="Google Sans"/>
          <w:color w:val="1f1f1f"/>
          <w:rtl w:val="0"/>
        </w:rPr>
        <w:t xml:space="preserve">: Exposes a unified API and Generic Client frontend (HAL/COST - Conversational State Transfer) allowing users to browse and execute transactions across the integrated applications.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Index Service</w:t>
      </w:r>
      <w:r w:rsidDel="00000000" w:rsidR="00000000" w:rsidRPr="00000000">
        <w:rPr>
          <w:rFonts w:ascii="Google Sans" w:cs="Google Sans" w:eastAsia="Google Sans" w:hAnsi="Google Sans"/>
          <w:color w:val="1f1f1f"/>
          <w:rtl w:val="0"/>
        </w:rPr>
        <w:t xml:space="preserve">: Calculates, caches, and queries the algebraic embeddings (RCVs) for high-speed mathematical inference.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Model Service</w:t>
      </w:r>
      <w:r w:rsidDel="00000000" w:rsidR="00000000" w:rsidRPr="00000000">
        <w:rPr>
          <w:rFonts w:ascii="Google Sans" w:cs="Google Sans" w:eastAsia="Google Sans" w:hAnsi="Google Sans"/>
          <w:color w:val="1f1f1f"/>
          <w:rtl w:val="0"/>
        </w:rPr>
        <w:t xml:space="preserve">: The main RDF store managing the persistence of underlying Reference Model Statements.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3. Algebraic Embeddings (CPPE &amp; RCV) Specification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framework replaces traditional LLM vector embeddings with deterministic, mathematically explainable algebraic embeddings derived from prime numbers and FCA.</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4"/>
          <w:szCs w:val="24"/>
        </w:rPr>
      </w:pPr>
      <w:r w:rsidDel="00000000" w:rsidR="00000000" w:rsidRPr="00000000">
        <w:rPr>
          <w:rFonts w:ascii="Google Sans" w:cs="Google Sans" w:eastAsia="Google Sans" w:hAnsi="Google Sans"/>
          <w:b w:val="1"/>
          <w:bCs w:val="1"/>
          <w:i w:val="0"/>
          <w:iCs w:val="0"/>
          <w:color w:val="1f1f1f"/>
          <w:sz w:val="24"/>
          <w:szCs w:val="24"/>
          <w:rtl w:val="0"/>
        </w:rPr>
        <w:t xml:space="preserve">Contextual Prime Product Embedding (CPPE)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Every identifier (URI) in the system is assigned a unique prime number upon creation. A CPPE represents a node's relational footprint within a specific FCA context by multiplying the primes of its connected nodes.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Given a predicate context (e.g., </w:t>
      </w:r>
      <w:r w:rsidDel="00000000" w:rsidR="00000000" w:rsidRPr="00000000">
        <w:rPr>
          <w:rFonts w:ascii="Google Sans" w:cs="Google Sans" w:eastAsia="Google Sans" w:hAnsi="Google Sans"/>
          <w:color w:val="444746"/>
          <w:rtl w:val="0"/>
        </w:rPr>
        <w:t xml:space="preserve">:worksFor</w:t>
      </w:r>
      <w:r w:rsidDel="00000000" w:rsidR="00000000" w:rsidRPr="00000000">
        <w:rPr>
          <w:rFonts w:ascii="Google Sans" w:cs="Google Sans" w:eastAsia="Google Sans" w:hAnsi="Google Sans"/>
          <w:color w:val="1f1f1f"/>
          <w:rtl w:val="0"/>
        </w:rPr>
        <w:t xml:space="preserve">), the embedding for an object (e.g., </w:t>
      </w:r>
      <w:r w:rsidDel="00000000" w:rsidR="00000000" w:rsidRPr="00000000">
        <w:rPr>
          <w:rFonts w:ascii="Google Sans" w:cs="Google Sans" w:eastAsia="Google Sans" w:hAnsi="Google Sans"/>
          <w:color w:val="444746"/>
          <w:rtl w:val="0"/>
        </w:rPr>
        <w:t xml:space="preserve">Google</w:t>
      </w:r>
      <w:r w:rsidDel="00000000" w:rsidR="00000000" w:rsidRPr="00000000">
        <w:rPr>
          <w:rFonts w:ascii="Google Sans" w:cs="Google Sans" w:eastAsia="Google Sans" w:hAnsi="Google Sans"/>
          <w:color w:val="1f1f1f"/>
          <w:rtl w:val="0"/>
        </w:rPr>
        <w:t xml:space="preserve">) is the product of the prime IDs of all subjects (Employees) connected to it:</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$$CPPE_{worksFor}(Google) = \prod_{i=1}^{n} primeID(Employee_i)$$</w:t>
      </w:r>
    </w:p>
    <w:p w:rsidR="00000000" w:rsidDel="00000000" w:rsidP="00000000" w:rsidRDefault="00000000" w:rsidRPr="00000000" w14:paraId="00000021">
      <w:pPr>
        <w:numPr>
          <w:ilvl w:val="0"/>
          <w:numId w:val="5"/>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Similarity</w:t>
      </w:r>
      <w:r w:rsidDel="00000000" w:rsidR="00000000" w:rsidRPr="00000000">
        <w:rPr>
          <w:rFonts w:ascii="Google Sans" w:cs="Google Sans" w:eastAsia="Google Sans" w:hAnsi="Google Sans"/>
          <w:color w:val="1f1f1f"/>
          <w:rtl w:val="0"/>
        </w:rPr>
        <w:t xml:space="preserve">: The similarity between two entities is calculated using the Greatest Common Divisor (GCD) of their CPPEs. A $GCD &gt; 1$ reveals exactly which prime factors (and thus, which specific entities) they share.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2">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i w:val="0"/>
          <w:iCs w:val="0"/>
          <w:color w:val="1f1f1f"/>
          <w:sz w:val="24"/>
          <w:szCs w:val="24"/>
        </w:rPr>
      </w:pPr>
      <w:r w:rsidDel="00000000" w:rsidR="00000000" w:rsidRPr="00000000">
        <w:rPr>
          <w:rFonts w:ascii="Google Sans" w:cs="Google Sans" w:eastAsia="Google Sans" w:hAnsi="Google Sans"/>
          <w:b w:val="1"/>
          <w:bCs w:val="1"/>
          <w:i w:val="0"/>
          <w:iCs w:val="0"/>
          <w:color w:val="1f1f1f"/>
          <w:sz w:val="24"/>
          <w:szCs w:val="24"/>
          <w:rtl w:val="0"/>
        </w:rPr>
        <w:t xml:space="preserve">Relational Context Vector (RCV)</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every statement triple in the graph, the Index Service computes an RCV. The RCV is a vector of three </w:t>
      </w:r>
      <w:r w:rsidDel="00000000" w:rsidR="00000000" w:rsidRPr="00000000">
        <w:rPr>
          <w:rFonts w:ascii="Google Sans" w:cs="Google Sans" w:eastAsia="Google Sans" w:hAnsi="Google Sans"/>
          <w:color w:val="444746"/>
          <w:rtl w:val="0"/>
        </w:rPr>
        <w:t xml:space="preserve">BigInteger</w:t>
      </w:r>
      <w:r w:rsidDel="00000000" w:rsidR="00000000" w:rsidRPr="00000000">
        <w:rPr>
          <w:rFonts w:ascii="Google Sans" w:cs="Google Sans" w:eastAsia="Google Sans" w:hAnsi="Google Sans"/>
          <w:color w:val="1f1f1f"/>
          <w:rtl w:val="0"/>
        </w:rPr>
        <w:t xml:space="preserve"> values $(S, P, O)$, each representing a CPPE from a different contextual perspective: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5">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 (Subject Context)</w:t>
      </w:r>
      <w:r w:rsidDel="00000000" w:rsidR="00000000" w:rsidRPr="00000000">
        <w:rPr>
          <w:rFonts w:ascii="Google Sans" w:cs="Google Sans" w:eastAsia="Google Sans" w:hAnsi="Google Sans"/>
          <w:color w:val="1f1f1f"/>
          <w:rtl w:val="0"/>
        </w:rPr>
        <w:t xml:space="preserve">: Encodes everything the subject does.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6">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 (Predicate Context)</w:t>
      </w:r>
      <w:r w:rsidDel="00000000" w:rsidR="00000000" w:rsidRPr="00000000">
        <w:rPr>
          <w:rFonts w:ascii="Google Sans" w:cs="Google Sans" w:eastAsia="Google Sans" w:hAnsi="Google Sans"/>
          <w:color w:val="1f1f1f"/>
          <w:rtl w:val="0"/>
        </w:rPr>
        <w:t xml:space="preserve">: Encodes every subject-object pair connected by this relation.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7">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O (Object Context)</w:t>
      </w:r>
      <w:r w:rsidDel="00000000" w:rsidR="00000000" w:rsidRPr="00000000">
        <w:rPr>
          <w:rFonts w:ascii="Google Sans" w:cs="Google Sans" w:eastAsia="Google Sans" w:hAnsi="Google Sans"/>
          <w:color w:val="1f1f1f"/>
          <w:rtl w:val="0"/>
        </w:rPr>
        <w:t xml:space="preserve">: Encodes everything that happens to the object.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8">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i w:val="0"/>
          <w:iCs w:val="0"/>
          <w:color w:val="1f1f1f"/>
          <w:sz w:val="24"/>
          <w:szCs w:val="24"/>
        </w:rPr>
      </w:pPr>
      <w:r w:rsidDel="00000000" w:rsidR="00000000" w:rsidRPr="00000000">
        <w:rPr>
          <w:rFonts w:ascii="Google Sans" w:cs="Google Sans" w:eastAsia="Google Sans" w:hAnsi="Google Sans"/>
          <w:b w:val="1"/>
          <w:bCs w:val="1"/>
          <w:i w:val="0"/>
          <w:iCs w:val="0"/>
          <w:color w:val="1f1f1f"/>
          <w:sz w:val="24"/>
          <w:szCs w:val="24"/>
          <w:rtl w:val="0"/>
        </w:rPr>
        <w:t xml:space="preserve">Schema Archetypes via LCM</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framework distinguishes between </w:t>
      </w:r>
      <w:r w:rsidDel="00000000" w:rsidR="00000000" w:rsidRPr="00000000">
        <w:rPr>
          <w:rFonts w:ascii="Google Sans" w:cs="Google Sans" w:eastAsia="Google Sans" w:hAnsi="Google Sans"/>
          <w:i w:val="1"/>
          <w:iCs w:val="1"/>
          <w:color w:val="1f1f1f"/>
          <w:rtl w:val="0"/>
        </w:rPr>
        <w:t xml:space="preserve">Instance RCVs</w:t>
      </w:r>
      <w:r w:rsidDel="00000000" w:rsidR="00000000" w:rsidRPr="00000000">
        <w:rPr>
          <w:rFonts w:ascii="Google Sans" w:cs="Google Sans" w:eastAsia="Google Sans" w:hAnsi="Google Sans"/>
          <w:color w:val="1f1f1f"/>
          <w:rtl w:val="0"/>
        </w:rPr>
        <w:t xml:space="preserve"> (data) and </w:t>
      </w:r>
      <w:r w:rsidDel="00000000" w:rsidR="00000000" w:rsidRPr="00000000">
        <w:rPr>
          <w:rFonts w:ascii="Google Sans" w:cs="Google Sans" w:eastAsia="Google Sans" w:hAnsi="Google Sans"/>
          <w:i w:val="1"/>
          <w:iCs w:val="1"/>
          <w:color w:val="1f1f1f"/>
          <w:rtl w:val="0"/>
        </w:rPr>
        <w:t xml:space="preserve">Schema RCVs</w:t>
      </w:r>
      <w:r w:rsidDel="00000000" w:rsidR="00000000" w:rsidRPr="00000000">
        <w:rPr>
          <w:rFonts w:ascii="Google Sans" w:cs="Google Sans" w:eastAsia="Google Sans" w:hAnsi="Google Sans"/>
          <w:color w:val="1f1f1f"/>
          <w:rtl w:val="0"/>
        </w:rPr>
        <w:t xml:space="preserve"> (rules). A Schema RCV (Archetype) is created by finding the Least Common Multiple (LCM) of the corresponding components of all instance RCVs that belong to that schema.</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a Schema has instances $1 \dots n$, its vector is calculated as: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$$S_{schema} = LCM(S_1, S_2, \dots, S_n)$$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$$P_{schema} = LCM(P_1, P_2, \dots, P_n)$$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$$O_{schema} = LCM(O_1, O_2, \dots, O_n)$$</w:t>
      </w:r>
    </w:p>
    <w:p w:rsidR="00000000" w:rsidDel="00000000" w:rsidP="00000000" w:rsidRDefault="00000000" w:rsidRPr="00000000" w14:paraId="0000003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4"/>
          <w:szCs w:val="24"/>
        </w:rPr>
      </w:pPr>
      <w:r w:rsidDel="00000000" w:rsidR="00000000" w:rsidRPr="00000000">
        <w:rPr>
          <w:rFonts w:ascii="Google Sans" w:cs="Google Sans" w:eastAsia="Google Sans" w:hAnsi="Google Sans"/>
          <w:b w:val="1"/>
          <w:bCs w:val="1"/>
          <w:i w:val="0"/>
          <w:iCs w:val="0"/>
          <w:color w:val="1f1f1f"/>
          <w:sz w:val="24"/>
          <w:szCs w:val="24"/>
          <w:rtl w:val="0"/>
        </w:rPr>
        <w:t xml:space="preserve">Numerical Inference and Traversal</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the Schema RCV is an LCM, any valid instance of that schema must divide perfectly into it. Therefore, checking if an instance belongs to a class (</w:t>
      </w:r>
      <w:r w:rsidDel="00000000" w:rsidR="00000000" w:rsidRPr="00000000">
        <w:rPr>
          <w:rFonts w:ascii="Google Sans" w:cs="Google Sans" w:eastAsia="Google Sans" w:hAnsi="Google Sans"/>
          <w:color w:val="444746"/>
          <w:rtl w:val="0"/>
        </w:rPr>
        <w:t xml:space="preserve">rdf:type</w:t>
      </w:r>
      <w:r w:rsidDel="00000000" w:rsidR="00000000" w:rsidRPr="00000000">
        <w:rPr>
          <w:rFonts w:ascii="Google Sans" w:cs="Google Sans" w:eastAsia="Google Sans" w:hAnsi="Google Sans"/>
          <w:color w:val="1f1f1f"/>
          <w:rtl w:val="0"/>
        </w:rPr>
        <w:t xml:space="preserve"> subsumption) is reduced to a high-speed modulo operation rather than a graph traversal:</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$$isInstanceOf = (Schema_S \pmod{Instance_S} == 0) \land (Schema_P \pmod{Instance_P} == 0) \land (Schema_O \pmod{Instance_O} == 0)$$</w:t>
      </w:r>
    </w:p>
    <w:p w:rsidR="00000000" w:rsidDel="00000000" w:rsidP="00000000" w:rsidRDefault="00000000" w:rsidRPr="00000000" w14:paraId="00000038">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Property Chain Composition</w:t>
      </w:r>
      <w:r w:rsidDel="00000000" w:rsidR="00000000" w:rsidRPr="00000000">
        <w:rPr>
          <w:rFonts w:ascii="Google Sans" w:cs="Google Sans" w:eastAsia="Google Sans" w:hAnsi="Google Sans"/>
          <w:color w:val="1f1f1f"/>
          <w:rtl w:val="0"/>
        </w:rPr>
        <w:t xml:space="preserve">: To infer new relationships (e.g., Developer $\rightarrow$ worksOn $\rightarrow$ Project $\rightarrow$ usesLanguage $\rightarrow$ Java $\implies$ Developer $\rightarrow$ knowsLanguage $\rightarrow$ Java), the framework mathematically combines contexts using multiplication: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9">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$S_{inferred} = S_1 \times O_2$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A">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$P_{inferred} = P_1 \times P_2$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B">
      <w:pPr>
        <w:numPr>
          <w:ilvl w:val="1"/>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$O_{inferred} = S_1 \times O_2$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Would you like me to elaborate further on how the DCI (Data, Context, and Interaction) model specifically translates these inferred schemas into executable API endpoints within the Producer Service?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