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 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Implement bootstrap configuration, Ontology Matching / Contextual Type Inference over this functional approach.</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Augmentation Layers. Stream Pipelines:</w:t>
      </w:r>
    </w:p>
    <w:p w:rsidR="00000000" w:rsidDel="00000000" w:rsidP="00000000" w:rsidRDefault="00000000" w:rsidRPr="00000000" w14:paraId="00000170">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