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Proposal: Adaptive Semantic Integration &amp; Augmentation Platform (ASIAP)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enterprise data architecture is plagued by the "Silo Problem"—fragmented data spread across disparate applications that cannot talk to one another effectively. Current solutions use static ETL processes that move data but do not understand 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ASIAP</w:t>
      </w:r>
      <w:r w:rsidDel="00000000" w:rsidR="00000000" w:rsidRPr="00000000">
        <w:rPr>
          <w:rFonts w:ascii="Arial" w:cs="Arial" w:eastAsia="Arial" w:hAnsi="Arial"/>
          <w:color w:val="1f1f1f"/>
          <w:rtl w:val="0"/>
        </w:rPr>
        <w:t xml:space="preserve"> is a reactive, semantic data integration framework designed to not just move data, but to </w:t>
      </w:r>
      <w:r w:rsidDel="00000000" w:rsidR="00000000" w:rsidRPr="00000000">
        <w:rPr>
          <w:rFonts w:ascii="Arial" w:cs="Arial" w:eastAsia="Arial" w:hAnsi="Arial"/>
          <w:b w:val="1"/>
          <w:bCs w:val="1"/>
          <w:color w:val="1f1f1f"/>
          <w:rtl w:val="0"/>
        </w:rPr>
        <w:t xml:space="preserve">Augment</w:t>
      </w:r>
      <w:r w:rsidDel="00000000" w:rsidR="00000000" w:rsidRPr="00000000">
        <w:rPr>
          <w:rFonts w:ascii="Arial" w:cs="Arial" w:eastAsia="Arial" w:hAnsi="Arial"/>
          <w:color w:val="1f1f1f"/>
          <w:rtl w:val="0"/>
        </w:rPr>
        <w:t xml:space="preserve"> it. By applying Formal Concept Analysis (FCA) and Prime ID Embeddings, the platform automatically infers relationships, types, and state transitions, providing a dynamic API Facade that keeps all source systems in bi-directional sync.</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Core Framework &amp; Architecture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Reactive Dataflow &amp; Services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operates on a continuous stream-processing loop. Unlike batch processing, ASIAP responds to data changes in real-time.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Service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Functional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Analogy /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Datasources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Connects to external APIs/DBs, ingests raw data, and pushes updates back to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Airbyte / Kafka Connect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Resource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"Brain." A central repository storing state as RDF Quads (Context, Subject, Predicate,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Graph DB (Neo4j / Apache Jena)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Augmentation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Orchestrates the inference logic (FCA) to enrich raw data into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Apache Flink / Spark 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Facade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dynamic "Naked Objects" interface that auto-generates REST/HAL endpoints.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Hasura / Apache Causeway</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Implementation Tip:</w:t>
      </w:r>
      <w:r w:rsidDel="00000000" w:rsidR="00000000" w:rsidRPr="00000000">
        <w:rPr>
          <w:rFonts w:ascii="Arial" w:cs="Arial" w:eastAsia="Arial" w:hAnsi="Arial"/>
          <w:color w:val="1f1f1f"/>
          <w:rtl w:val="0"/>
        </w:rPr>
        <w:t xml:space="preserve"> Use a </w:t>
      </w:r>
      <w:r w:rsidDel="00000000" w:rsidR="00000000" w:rsidRPr="00000000">
        <w:rPr>
          <w:rFonts w:ascii="Arial" w:cs="Arial" w:eastAsia="Arial" w:hAnsi="Arial"/>
          <w:b w:val="1"/>
          <w:bCs w:val="1"/>
          <w:color w:val="1f1f1f"/>
          <w:rtl w:val="0"/>
        </w:rPr>
        <w:t xml:space="preserve">Reactive Streams</w:t>
      </w:r>
      <w:r w:rsidDel="00000000" w:rsidR="00000000" w:rsidRPr="00000000">
        <w:rPr>
          <w:rFonts w:ascii="Arial" w:cs="Arial" w:eastAsia="Arial" w:hAnsi="Arial"/>
          <w:color w:val="1f1f1f"/>
          <w:rtl w:val="0"/>
        </w:rPr>
        <w:t xml:space="preserve"> library (like Project Reactor or Akka Streams) to ensure the dataflow handles backpressure gracefully when syncing between high-speed internal models and slower external APIs.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Technical Innovations: The "Secret Sauce"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Prime ID Embeddings (Computational Efficiency)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assigns a unique </w:t>
      </w:r>
      <w:r w:rsidDel="00000000" w:rsidR="00000000" w:rsidRPr="00000000">
        <w:rPr>
          <w:rFonts w:ascii="Arial" w:cs="Arial" w:eastAsia="Arial" w:hAnsi="Arial"/>
          <w:b w:val="1"/>
          <w:bCs w:val="1"/>
          <w:color w:val="1f1f1f"/>
          <w:rtl w:val="0"/>
        </w:rPr>
        <w:t xml:space="preserve">Prime Number</w:t>
      </w:r>
      <w:r w:rsidDel="00000000" w:rsidR="00000000" w:rsidRPr="00000000">
        <w:rPr>
          <w:rFonts w:ascii="Arial" w:cs="Arial" w:eastAsia="Arial" w:hAnsi="Arial"/>
          <w:color w:val="1f1f1f"/>
          <w:rtl w:val="0"/>
        </w:rPr>
        <w:t xml:space="preserve"> to every URI. To calculate the "identity" of a complex graph context, we simply multiply these primes.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Advantage:</w:t>
      </w:r>
      <w:r w:rsidDel="00000000" w:rsidR="00000000" w:rsidRPr="00000000">
        <w:rPr>
          <w:rFonts w:ascii="Arial" w:cs="Arial" w:eastAsia="Arial" w:hAnsi="Arial"/>
          <w:color w:val="1f1f1f"/>
          <w:rtl w:val="0"/>
        </w:rPr>
        <w:t xml:space="preserve"> Instead of expensive graph-traversal queries to find if an object belongs to a context, we use simple </w:t>
      </w:r>
      <w:r w:rsidDel="00000000" w:rsidR="00000000" w:rsidRPr="00000000">
        <w:rPr>
          <w:rFonts w:ascii="Arial" w:cs="Arial" w:eastAsia="Arial" w:hAnsi="Arial"/>
          <w:b w:val="1"/>
          <w:bCs w:val="1"/>
          <w:color w:val="1f1f1f"/>
          <w:rtl w:val="0"/>
        </w:rPr>
        <w:t xml:space="preserve">division/modulo operations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Leader Insight:</w:t>
      </w:r>
      <w:r w:rsidDel="00000000" w:rsidR="00000000" w:rsidRPr="00000000">
        <w:rPr>
          <w:rFonts w:ascii="Arial" w:cs="Arial" w:eastAsia="Arial" w:hAnsi="Arial"/>
          <w:color w:val="1f1f1f"/>
          <w:rtl w:val="0"/>
        </w:rPr>
        <w:t xml:space="preserve"> This reduces the computational complexity of link prediction from </w:t>
      </w:r>
      <w:r w:rsidDel="00000000" w:rsidR="00000000" w:rsidRPr="00000000">
        <w:rPr>
          <w:rFonts w:ascii="Arial" w:cs="Arial" w:eastAsia="Arial" w:hAnsi="Arial"/>
          <w:color w:val="1f1f1f"/>
        </w:rPr>
        <w:drawing>
          <wp:inline distB="19050" distT="19050" distL="19050" distR="19050">
            <wp:extent cx="531138" cy="2276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138" cy="227630"/>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81536" cy="22892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36" cy="228922"/>
                    </a:xfrm>
                    <a:prstGeom prst="rect"/>
                    <a:ln/>
                  </pic:spPr>
                </pic:pic>
              </a:graphicData>
            </a:graphic>
          </wp:inline>
        </w:drawing>
      </w:r>
      <w:r w:rsidDel="00000000" w:rsidR="00000000" w:rsidRPr="00000000">
        <w:rPr>
          <w:rFonts w:ascii="Arial" w:cs="Arial" w:eastAsia="Arial" w:hAnsi="Arial"/>
          <w:color w:val="1f1f1f"/>
          <w:rtl w:val="0"/>
        </w:rPr>
        <w:t xml:space="preserve"> in many cases, allowing the system to scale horizontally without typical graph database bottlenecks.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Augmentation Trinity</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Aggregation (Type Inference):</w:t>
      </w:r>
      <w:r w:rsidDel="00000000" w:rsidR="00000000" w:rsidRPr="00000000">
        <w:rPr>
          <w:rFonts w:ascii="Arial" w:cs="Arial" w:eastAsia="Arial" w:hAnsi="Arial"/>
          <w:color w:val="1f1f1f"/>
          <w:rtl w:val="0"/>
        </w:rPr>
        <w:t xml:space="preserve"> The system uses FCA to realize that if Object A and Object B share the same attributes, they belong to the same </w:t>
      </w:r>
      <w:r w:rsidDel="00000000" w:rsidR="00000000" w:rsidRPr="00000000">
        <w:rPr>
          <w:rFonts w:ascii="Arial" w:cs="Arial" w:eastAsia="Arial" w:hAnsi="Arial"/>
          <w:i w:val="1"/>
          <w:iCs w:val="1"/>
          <w:color w:val="1f1f1f"/>
          <w:rtl w:val="0"/>
        </w:rPr>
        <w:t xml:space="preserve">Concept</w:t>
      </w:r>
      <w:r w:rsidDel="00000000" w:rsidR="00000000" w:rsidRPr="00000000">
        <w:rPr>
          <w:rFonts w:ascii="Arial" w:cs="Arial" w:eastAsia="Arial" w:hAnsi="Arial"/>
          <w:color w:val="1f1f1f"/>
          <w:rtl w:val="0"/>
        </w:rPr>
        <w:t xml:space="preserve">. It builds a self-organizing class hierarchy without manual schema definition.</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Alignment (Contextual Prediction):</w:t>
      </w:r>
      <w:r w:rsidDel="00000000" w:rsidR="00000000" w:rsidRPr="00000000">
        <w:rPr>
          <w:rFonts w:ascii="Arial" w:cs="Arial" w:eastAsia="Arial" w:hAnsi="Arial"/>
          <w:color w:val="1f1f1f"/>
          <w:rtl w:val="0"/>
        </w:rPr>
        <w:t xml:space="preserve"> By shifting the "axis" of a context (e.g., from </w:t>
      </w:r>
      <w:r w:rsidDel="00000000" w:rsidR="00000000" w:rsidRPr="00000000">
        <w:rPr>
          <w:rFonts w:ascii="Arial" w:cs="Arial" w:eastAsia="Arial" w:hAnsi="Arial"/>
          <w:i w:val="1"/>
          <w:iCs w:val="1"/>
          <w:color w:val="1f1f1f"/>
          <w:rtl w:val="0"/>
        </w:rPr>
        <w:t xml:space="preserve">Yesterday</w:t>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i w:val="1"/>
          <w:iCs w:val="1"/>
          <w:color w:val="1f1f1f"/>
          <w:rtl w:val="0"/>
        </w:rPr>
        <w:t xml:space="preserve">Today</w:t>
      </w:r>
      <w:r w:rsidDel="00000000" w:rsidR="00000000" w:rsidRPr="00000000">
        <w:rPr>
          <w:rFonts w:ascii="Arial" w:cs="Arial" w:eastAsia="Arial" w:hAnsi="Arial"/>
          <w:color w:val="1f1f1f"/>
          <w:rtl w:val="0"/>
        </w:rPr>
        <w:t xml:space="preserve">), the system predicts the next value (e.g., </w:t>
      </w:r>
      <w:r w:rsidDel="00000000" w:rsidR="00000000" w:rsidRPr="00000000">
        <w:rPr>
          <w:rFonts w:ascii="Arial" w:cs="Arial" w:eastAsia="Arial" w:hAnsi="Arial"/>
          <w:i w:val="1"/>
          <w:iCs w:val="1"/>
          <w:color w:val="1f1f1f"/>
          <w:rtl w:val="0"/>
        </w:rPr>
        <w:t xml:space="preserve">Price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Activation (State Evolution):</w:t>
      </w:r>
      <w:r w:rsidDel="00000000" w:rsidR="00000000" w:rsidRPr="00000000">
        <w:rPr>
          <w:rFonts w:ascii="Arial" w:cs="Arial" w:eastAsia="Arial" w:hAnsi="Arial"/>
          <w:color w:val="1f1f1f"/>
          <w:rtl w:val="0"/>
        </w:rPr>
        <w:t xml:space="preserve"> It predicts role transitions (e.g., predicting when a "Junior" actor is ready to transition to a "Senior" state based on interaction history).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Competitive Advantages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Traditional Middleware (MuleSoft,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ASIAP 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Schema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Manual, rigid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Automatic</w:t>
            </w:r>
            <w:r w:rsidDel="00000000" w:rsidR="00000000" w:rsidRPr="00000000">
              <w:rPr>
                <w:rFonts w:ascii="Arial" w:cs="Arial" w:eastAsia="Arial" w:hAnsi="Arial"/>
                <w:color w:val="1f1f1f"/>
                <w:shd w:fill="auto" w:val="clear"/>
                <w:rtl w:val="0"/>
              </w:rPr>
              <w:t xml:space="preserve"> inference via FCA.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Sync 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Usually One-way or complex to 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Bi-directional</w:t>
            </w:r>
            <w:r w:rsidDel="00000000" w:rsidR="00000000" w:rsidRPr="00000000">
              <w:rPr>
                <w:rFonts w:ascii="Arial" w:cs="Arial" w:eastAsia="Arial" w:hAnsi="Arial"/>
                <w:color w:val="1f1f1f"/>
                <w:shd w:fill="auto" w:val="clear"/>
                <w:rtl w:val="0"/>
              </w:rPr>
              <w:t xml:space="preserve"> by design via the Facade.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Static transformations.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Predictive</w:t>
            </w:r>
            <w:r w:rsidDel="00000000" w:rsidR="00000000" w:rsidRPr="00000000">
              <w:rPr>
                <w:rFonts w:ascii="Arial" w:cs="Arial" w:eastAsia="Arial" w:hAnsi="Arial"/>
                <w:color w:val="1f1f1f"/>
                <w:shd w:fill="auto" w:val="clear"/>
                <w:rtl w:val="0"/>
              </w:rPr>
              <w:t xml:space="preserve"> (Alignment/Activation).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Development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(writing endpoints for each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Low</w:t>
            </w:r>
            <w:r w:rsidDel="00000000" w:rsidR="00000000" w:rsidRPr="00000000">
              <w:rPr>
                <w:rFonts w:ascii="Arial" w:cs="Arial" w:eastAsia="Arial" w:hAnsi="Arial"/>
                <w:color w:val="1f1f1f"/>
                <w:shd w:fill="auto" w:val="clear"/>
                <w:rtl w:val="0"/>
              </w:rPr>
              <w:t xml:space="preserve"> (Dynamic HAL API auto-discovery).</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Potential Use Cases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Unified Customer 360 (CRM &amp; Support)</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Problem:</w:t>
      </w:r>
      <w:r w:rsidDel="00000000" w:rsidR="00000000" w:rsidRPr="00000000">
        <w:rPr>
          <w:rFonts w:ascii="Arial" w:cs="Arial" w:eastAsia="Arial" w:hAnsi="Arial"/>
          <w:color w:val="1f1f1f"/>
          <w:rtl w:val="0"/>
        </w:rPr>
        <w:t xml:space="preserve"> Sales sees "Closed Won" in Salesforce; Support sees "Critical Ticket" in Zendesk.</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ASIAP Solution:</w:t>
      </w:r>
      <w:r w:rsidDel="00000000" w:rsidR="00000000" w:rsidRPr="00000000">
        <w:rPr>
          <w:rFonts w:ascii="Arial" w:cs="Arial" w:eastAsia="Arial" w:hAnsi="Arial"/>
          <w:color w:val="1f1f1f"/>
          <w:rtl w:val="0"/>
        </w:rPr>
        <w:t xml:space="preserve"> Aggregates both. Infers a new "At-Risk" type. When a manager updates the status in the ASIAP Facade, both Salesforce and Zendesk are updated simultaneously.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Predictive Supply Chain</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Problem:</w:t>
      </w:r>
      <w:r w:rsidDel="00000000" w:rsidR="00000000" w:rsidRPr="00000000">
        <w:rPr>
          <w:rFonts w:ascii="Arial" w:cs="Arial" w:eastAsia="Arial" w:hAnsi="Arial"/>
          <w:color w:val="1f1f1f"/>
          <w:rtl w:val="0"/>
        </w:rPr>
        <w:t xml:space="preserve"> Parts are in different databases (ERP vs. Logistics).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ASIAP Solution:</w:t>
      </w:r>
      <w:r w:rsidDel="00000000" w:rsidR="00000000" w:rsidRPr="00000000">
        <w:rPr>
          <w:rFonts w:ascii="Arial" w:cs="Arial" w:eastAsia="Arial" w:hAnsi="Arial"/>
          <w:color w:val="1f1f1f"/>
          <w:rtl w:val="0"/>
        </w:rPr>
        <w:t xml:space="preserve"> Uses </w:t>
      </w:r>
      <w:r w:rsidDel="00000000" w:rsidR="00000000" w:rsidRPr="00000000">
        <w:rPr>
          <w:rFonts w:ascii="Arial" w:cs="Arial" w:eastAsia="Arial" w:hAnsi="Arial"/>
          <w:b w:val="1"/>
          <w:bCs w:val="1"/>
          <w:color w:val="1f1f1f"/>
          <w:rtl w:val="0"/>
        </w:rPr>
        <w:t xml:space="preserve">Alignment</w:t>
      </w:r>
      <w:r w:rsidDel="00000000" w:rsidR="00000000" w:rsidRPr="00000000">
        <w:rPr>
          <w:rFonts w:ascii="Arial" w:cs="Arial" w:eastAsia="Arial" w:hAnsi="Arial"/>
          <w:color w:val="1f1f1f"/>
          <w:rtl w:val="0"/>
        </w:rPr>
        <w:t xml:space="preserve"> to shift the time axis. If "Storm" is detected in the Logistics context, it predicts a "Delayed" state in the ERP context before it happens.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Dynamic HR &amp; Role Provisioning</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Problem:</w:t>
      </w:r>
      <w:r w:rsidDel="00000000" w:rsidR="00000000" w:rsidRPr="00000000">
        <w:rPr>
          <w:rFonts w:ascii="Arial" w:cs="Arial" w:eastAsia="Arial" w:hAnsi="Arial"/>
          <w:color w:val="1f1f1f"/>
          <w:rtl w:val="0"/>
        </w:rPr>
        <w:t xml:space="preserve"> Access permissions don't keep up with employee growth.</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ASIAP Solution: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Activation</w:t>
      </w:r>
      <w:r w:rsidDel="00000000" w:rsidR="00000000" w:rsidRPr="00000000">
        <w:rPr>
          <w:rFonts w:ascii="Arial" w:cs="Arial" w:eastAsia="Arial" w:hAnsi="Arial"/>
          <w:color w:val="1f1f1f"/>
          <w:rtl w:val="0"/>
        </w:rPr>
        <w:t xml:space="preserve"> monitors project interactions. When an employee's "ContextPoints" align with a "Lead" role, the system can auto-provision access across all integrated dev tools.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Implementation Roadmap (PoC)</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Phase 1: Ingestion.</w:t>
      </w:r>
      <w:r w:rsidDel="00000000" w:rsidR="00000000" w:rsidRPr="00000000">
        <w:rPr>
          <w:rFonts w:ascii="Arial" w:cs="Arial" w:eastAsia="Arial" w:hAnsi="Arial"/>
          <w:color w:val="1f1f1f"/>
          <w:rtl w:val="0"/>
        </w:rPr>
        <w:t xml:space="preserve"> Connect two disparate data sources (e.g., a SQL DB and a REST API) to the Resource Model.</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Phase 2: Embedding.</w:t>
      </w:r>
      <w:r w:rsidDel="00000000" w:rsidR="00000000" w:rsidRPr="00000000">
        <w:rPr>
          <w:rFonts w:ascii="Arial" w:cs="Arial" w:eastAsia="Arial" w:hAnsi="Arial"/>
          <w:color w:val="1f1f1f"/>
          <w:rtl w:val="0"/>
        </w:rPr>
        <w:t xml:space="preserve"> Implement the Prime ID assignment and simple FCA Aggregation.</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Phase 3: Facade.</w:t>
      </w:r>
      <w:r w:rsidDel="00000000" w:rsidR="00000000" w:rsidRPr="00000000">
        <w:rPr>
          <w:rFonts w:ascii="Arial" w:cs="Arial" w:eastAsia="Arial" w:hAnsi="Arial"/>
          <w:color w:val="1f1f1f"/>
          <w:rtl w:val="0"/>
        </w:rPr>
        <w:t xml:space="preserve"> Deploy the HAL endpoint to demonstrate "Naked Objects" interaction back to source systems.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Recommendation:</w:t>
      </w:r>
      <w:r w:rsidDel="00000000" w:rsidR="00000000" w:rsidRPr="00000000">
        <w:rPr>
          <w:rFonts w:ascii="Arial" w:cs="Arial" w:eastAsia="Arial" w:hAnsi="Arial"/>
          <w:color w:val="1f1f1f"/>
          <w:rtl w:val="0"/>
        </w:rPr>
        <w:t xml:space="preserve"> We should begin with a "Read-Sync" PoC to demonstrate the Prime ID computational speed before moving to complex Activation inferences.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