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(modelType/encoding):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ID/reference-tmrm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IDOccurrence/reference-tmrm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Subject/reference-tmrm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Predicate/reference-tmrm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Object/reference-tmrm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SubjectKind/reference-tmrm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PredicateKind/reference-tmrm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ObjectKind/reference-tmrm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Statement/reference-tmrm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Graph/reference-tmrm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Model/reference-tmrm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TODO: Embed in ContentType / URN Resource instance type and context. Example: Model/FCA/reference-tmrm, urn:graph:subjectKind1.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ResourceOccurrence::onOccurrence(ResourceOccurrence) Events: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S, P, O filter /criteria / matching.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ResourceOccurrence::getOccurringContexts(S, P, O): S, P, O filter criteria / matching.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nodes Model Events Topic consumers / producers. Matches for Models ContentType(s).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 Context back to the stream for further augmentation. Updates augmented Model ContentType.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transforms.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 backends state.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Node: Resource Factory. URN Crafting / Matching. Aggregation (type / state / order inference).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Node: Resource Repository. URNs Resolution / CRUD. Alignment (equivalence / upper matching, link prediction).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Node: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