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(Data / Transforms)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ContentTypes? Encoding? Models types?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 contexts? Prime IDs? Sets contexts? Dimensional contexts? Activation contexts? Hierarchies?: ResourceOccurrence Models ContentType Schema?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Kinds Occurrences) : SPO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O)? (CPPE / RCV / FCA / Kinds / Alignment schema / instances inference. Filter / query / traversal).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O)? (CPPE / RCV / FCA / Kinds / Alignment schema / instances inference. Filter / query / traversal).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URN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Naming, Registry, Index stream nodes Model Events Topic consumers / producers.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 Topic: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Events and publish augmented Model Event Context back to the stream for further augmentation.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Event and invokes occurrences events, traversing occurrences / occurring contexts getters. Node augmentation logic in Resources Representations ContentType(s) transforms.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Events published to the topic and listens for Model Events for syncing backends state.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Events, publishes Activation API from Models and produces API interactions Model Events.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Models? Augmented Model in Events Context?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Naming: Resource Factory. URN Crafting / Matching. Aggregation (type / state / order inference).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step Model Context: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Registry: Resource Repository. URNs Resolution / CRUD. Alignment (equivalence / upper matching, link prediction).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step Model Context: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Index: Resource Contents URNs Resolution (inferences, transforms). Activation (possible verbs / state changes / transforms).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step Model Context: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