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Resource: (URN, PrimeID, Content Type, Representation);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(Context, Occurrence, Result) Resources.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Types (URNs: Data / Transforms)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ID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Statement (ID Occurrence)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CSPO (Statement Occurrences)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Kind (CSPOs Occurrence)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Graph (Kinds Occurrence)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Events : (eventName, ResourceType&lt;Consumes, Produces&gt; Content Types).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Outputs feedback to Main Event Loop onResource(ResourceType, Consumes, Produces) for further augmentation. Resource transform / augmentation logic in each event handler (Content Type).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ID::onOccurrence(Statement) : CSPOs.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Statement::onOccurrence(CSPOs) : Kinds.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CSPOs::onOccurrence(Kind) : Graph.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 Types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Resource Types / Model encodings.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Representations transform. Events transforms.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Representations&lt;ContentType&gt;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Encoded Models.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Content Type bound registered transforms (Resource events).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Event Loop: Naming, Registry, Index stream steps pipeline.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Datasource input, Producer output.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onResource(Subject, Predicate, Object):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Naming: Resource Factory. URN Crafting / Matching. Aggregation (type / state / order inference). Subject/Predicate/ObjectIDs::onOccurrence(Statement) 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CSPOs.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Registry: Resource Repository. URNs Resolution / CRUD. Alignment (equivalence / upper matching, link prediction). Statement::onOccurrence(CSPOs) : Kinds.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Index: Resource Contents URNs Resolution (inferences, transforms). Activation (possible verbs / state changes / transforms). CSPOs::onOccurrence(Kind) : Graph.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