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Resource: (URN, PrimeID, Content Type, Representation); Activation (Content Type handled): onOccurrence(Resource), ID::getOccurrences() : Statement, Statement::getOccurrences() : CSPOs, CSPO::getOccurrences() : Kind, Kind::getOccurrences() : CSPOs?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getOccurrences(Resource, Resource, Resource)?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(Context, Occurrence, Result) Resources.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Types (URNs: Data / Transforms)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ID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Statement (ID Occurrence) : ID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CSPO (Statement Occurrences, Kind?) : Statement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Kind (CSPOs Occurrence, CSPO?) : CSPO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Graph (Kinds Occurrence) : Kind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Events : (eventName, ResourceType&lt;Consumes, Produces&gt; Content Types).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Outputs feedback to Main Event Loop onResource(ResourceType, Consumes, Produces) for further augmentation. Resource transform / augmentation logic in each event handler (Content Type).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ID::onOccurrence(Statement) : CSPOs.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Statement::onOccurrence(CSPOs) : Kinds.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CSPOs::onOccurrence(Kind) : Graph.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Kind::onOccurrence(Graph) : Graph?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Graph::onOccurrence(Graph) : Graph?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 Types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Resource Types / Model encodings.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Representations transform. Events transforms.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Resource types hierarchies.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Representations&lt;ContentType&gt;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Encoded Models.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Transforms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Content Type bound registered transforms (Resource events).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 Naming, Registry, Index stream steps pipeline.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input, Producer output.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onResource(Subject, Predicate, Object):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Naming: Resource Factory. URN Crafting / Matching. Aggregation (type / state / order inference). Subject/Predicate/ObjectIDs::onOccurrence(Statement) : CSPOs.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Registry: Resource Repository. URNs Resolution / CRUD. Alignment (equivalence / upper matching, link prediction). Statement::onOccurrence(CSPOs) : Kinds.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Index: Resource Contents URNs Resolution (inferences, transforms). Activation (possible verbs / state changes / transforms). CSPOs::onOccurrence(Kind) : Graph.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