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28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89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7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7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7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7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7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9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9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9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9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9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9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9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A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A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A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AF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B0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B1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B2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B3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B4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B5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B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B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B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B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B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B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B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B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C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C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C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C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C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C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D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D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D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D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D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D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D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E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E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E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E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E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E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E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E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F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F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F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F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F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F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F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0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0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0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0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0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