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URIs: Whole (parts). Context (S) / Role (P) / Object (O). Resolvable occurrences.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 URIs: Parts (whole). Entity / Attribute / Value (Kinds SPOs).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Templates / DIDs.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 / Attribute, Object). URI, OccurrenceID.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 (Role).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 URI. URIOccurrence: (S, P, O).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CSPOs: URIOccurrences. S: URI, (Kind, P, 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Kind, URI.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URI. Kind URIOccurrences: Roles. Example SK(Role, Ps, Os).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55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B6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A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A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A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A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A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C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C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C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C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C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C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C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D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D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D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D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D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D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DD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DE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DF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E0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E1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E2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E3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E4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E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E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E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E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E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E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F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4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F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F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F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F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50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5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0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1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1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4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