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Classification determines content types.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Statements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(Statement, SPOURI, Type)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Clustering / Detection (parts / occurrences classification / roles) determines relationships / equivalences (inferred upper ontology / same 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(Statement, SPOURI, Type)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(Type, Occurrence, URI)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Regression determines contexts roles interactions actors states.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(Type, Occurrence, URI)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(Context, Role, Type (Interaction, Role, Actor))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A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B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D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D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D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E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F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F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F2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F3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F4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F5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F6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F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F8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F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F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50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2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5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