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Quantificazione TC delle vie aeree</w:t>
      </w:r>
    </w:p>
    <w:p>
      <w:pPr>
        <w:spacing w:after="60"/>
        <w:jc w:val="left"/>
      </w:pPr>
      <w:r>
        <w:rPr>
          <w:rFonts w:ascii="Calibri" w:cs="Calibri" w:eastAsia="Calibri" w:hAnsi="Calibri"/>
          <w:color w:val="52514E"/>
          <w:sz w:val="26"/>
          <w:szCs w:val="26"/>
        </w:rPr>
        <w:t xml:space="preserve">Protocollo delle misure — pipeline v0.13 (prototipo di ricerca)</w:t>
      </w:r>
    </w:p>
    <w:p>
      <w:pPr>
        <w:spacing w:after="240"/>
        <w:jc w:val="left"/>
      </w:pPr>
      <w:r>
        <w:rPr>
          <w:rFonts w:ascii="Calibri" w:cs="Calibri" w:eastAsia="Calibri" w:hAnsi="Calibri"/>
          <w:i/>
          <w:iCs/>
          <w:color w:val="898781"/>
          <w:sz w:val="20"/>
          <w:szCs w:val="20"/>
        </w:rPr>
        <w:t xml:space="preserve">Bozza per uso interno · agosto 2026 · strumento di ricerca, non dispositivo medico: non usare per decisioni cliniche sui pazienti.</w:t>
      </w:r>
    </w:p>
    <w:p>
      <w:pPr>
        <w:pStyle w:val="Heading1"/>
        <w:spacing w:after="160" w:before="320"/>
      </w:pPr>
      <w:r>
        <w:t xml:space="preserve">1. Scopo e quadro d’insieme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Questo documento descrive, così come sono implementate, le quantificazioni eseguite dalla pipeline sulle TC del torace: segmentazione dell’albero bronchiale, estrazione dell’albero e conteggio delle generazioni, misura del calibro del lume, misura dello spessore di parete, e analisi dei territori parenchimali con verifica della legge di Murray. Ogni misura è accompagnata dai suoi criteri di controllo di qualità (QC) e dai limiti noti. Il principio guida è la trasparenza: ogni numero prodotto è accompagnato dall’immagine della sezione su cui è stato misurato, dal metodo usato e dal proprio esito di QC, ed è escludibile dal radiologo con tracciamento dell’esclusione.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catena di elaborazione è: anonimizzazione DICOM→NIfTI → ricampionamento isotropico → segmentazione delle vie aeree → scheletrizzazione e grafo → etichette anatomiche (best effort) → misure di calibro e parete → profilo longitudinale → segmentazione polmonare e densitometria → territori parenchimali e legge di Murray → report interattivo e tabella CSV.</w:t>
      </w:r>
    </w:p>
    <w:p>
      <w:pPr>
        <w:pStyle w:val="Heading1"/>
        <w:spacing w:after="160" w:before="320"/>
      </w:pPr>
      <w:r>
        <w:t xml:space="preserve">2. Dati in ingresso e anonimizzazione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L’input è una serie TC volumetrica del torace. La conversione DICOM→NIfTI (script anonimizza.py) scansiona ricorsivamente cartelle e CD paziente, elenca le serie disponibili (numero di immagini, modalità, spessore di strato, descrizione) e converte la serie scelta. Il file NIfTI conserva esclusivamente geometria e valori voxel: nessun dato anagrafico. Requisiti raccomandati: acquisizione volumetrica in inspirio profondo, strato ≤ 1,25 mm, stessa combinazione scanner/protocollo/kernel per basale e follow-up. I casi sono identificati da codici neutri (caso01, caso02, …).</w:t>
      </w:r>
    </w:p>
    <w:p>
      <w:pPr>
        <w:pStyle w:val="Heading1"/>
        <w:spacing w:after="160" w:before="320"/>
      </w:pPr>
      <w:r>
        <w:t xml:space="preserve">3. Pre-elaborazione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volume è ricampionato a voxel isotropico con interpolazione B-spline; il passo isotropico è il più fine dei passi nativi (tipicamente 0,6–0,8 mm). La maschera corporea è ottenuta per soglia (&gt; −500 HU), componente connessa maggiore e riempimento dei fori fetta per fetta: esclude l’aria ambiente e delimita tutte le operazioni successive.</w:t>
      </w:r>
    </w:p>
    <w:p>
      <w:pPr>
        <w:pStyle w:val="Heading1"/>
        <w:spacing w:after="160" w:before="320"/>
      </w:pPr>
      <w:r>
        <w:t xml:space="preserve">4. Segmentazione delle vie aeree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segmentazione è una crescita regionale a soglia adattiva con arresto pre-esplosione, eseguita su una copia del volume smussata con filtro gaussiano (σ = 1,2 voxel): lo smussamento impedisce che il rumore del kernel duro connetta il lume al parenchima alle soglie basse.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seed tracheale è individuato automaticamente: nelle fette craniali vengono cercati blob d’aria rotondi (area 60–900 mm², vicini al centro laterale, rotondità minima) e concatenati tra fette adiacenti; le catene persistenti (≥ 6 fette) diventano candidati. Per ogni candidato si esegue la crescita con soglie da −980 a −700 HU a passi di 10: la crescita si arresta alla soglia precedente se il volume esplode (× 1,9 e + 15 ml in un passo). Il candidato vincente è scelto con un punteggio anatomico (volume tra 10 e 300 ml, estensione laterale &gt; 80 mm, estensione craniocaudale &gt; 80 mm): questo scarta automaticamente esofago e polmone. Non viene applicato alcun “recupero bordi” sul volume non smussato: su parenchimi radiotrasparenti aggiunge un alone che corrompe misure e scheletro.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c>
          <w:tcPr>
            <w:tcW w:type="dxa" w:w="340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260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Valore</w:t>
            </w:r>
          </w:p>
        </w:tc>
        <w:tc>
          <w:tcPr>
            <w:tcW w:type="dxa" w:w="336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Smussamento pre-crescita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= 1,2 voxel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 la connettività da rumore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Soglie esplorate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−980 → −700 HU, passo 10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arresto pre-esplosione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Criterio di esplosione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× 1,9 e + 15 ml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un singolo passo di soglia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Punteggio anatomico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10–300 ml; x, z &gt; 80 mm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scarta esofago/polmone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t xml:space="preserve">5. Albero, diramazioni e generazioni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maschera è scheletrizzata in 3D (assottigliamento topologico); i voxel dello scheletro formano un grafo a 26-connettività da cui si tracciano i rami tra giunzioni ed estremità. Il grafo è ripulito: i rametti foglia più corti di max(3 mm; 2,5 × raggio locale della giunzione) sono spur di scheletrizzazione e vengono rimossi; i nodi di grado 2 residui e le catene senza biforcazione vengono fusi. Il ramo radice è quello più vicino al seed tracheale.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Numerazione delle generazioni: la trachea è generazione 0; la generazione aumenta di 1 a ogni biforcazione reale (nodo con ≥ 2 figli). Un tratto che prosegue senza biforcarsi mantiene la generazione (così il bronco intermedio non gonfia il conteggio). La “conta delle generazioni” per esame riporta il numero di rami rilevati per generazione e la generazione massima raggiunta: entrambe dipendono dalla risoluzione e dal metodo di segmentazione e vanno confrontate solo a parità di protocollo.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Etichettatura anatomica (best effort): regole geometrico-topologiche assegnano trachea, bronchi principali, lobari, intermedio, lingula e segmentari B1–B10 in base a direzioni di decollo e topologia (es. B6 = decollo posteriore del lobare inferiore; validato bilateralmente dal radiologo sul caso di sviluppo). I rami sotto 5 mm non ricevono etichetta segmentale. Le etichette sono descrittive e non costituiscono endpoint.</w:t>
      </w:r>
    </w:p>
    <w:p>
      <w:pPr>
        <w:pStyle w:val="Heading1"/>
        <w:spacing w:after="160" w:before="320"/>
      </w:pPr>
      <w:r>
        <w:t xml:space="preserve">6. Calibro del lume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calibro è misurato su sezioni perpendicolari al centerline, ricostruite per interpolazione trilineare dal volume isotropico (equivalente a una MPR obliqua orientata dall’anatomia del ramo, non dall’operatore).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Selezione dei punti di misura: per ogni ramo si escludono le estremità entro un raggio locale dalle giunzioni; i punti candidati sono ordinati per vicinanza del raggio locale alla mediana del ramo (evitando così sia i coni di giunzione sia le strozzature) e si tenta la misura su un massimo di 12 punti fino ad accettarne 5.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 ogni punto: (1) la tangente è stimata con fit lineare (PCA) sui ± 5 punti circostanti del centerline; (2) il centro è ricorretto sul baricentro della regione d’aria connessa più vicina (soglia −650 HU), perché lo scheletro nelle vie piccole è sistematicamente decentrato; (3) dal centro si campionano 64 profili radiali (passo 0,25 mm); (4) il livello dell’aria endoluminale è il 15° percentile della regione d’aria; (5) il bordo del lume su ogni raggio è l’attraversamento a metà altezza (half-max) tra livello endoluminale e picco di parete, con interpolazione sub-voxel; (6) il poligono dei 64 bordi, regolarizzato (limite a 2,2 × la mediana, interpolazione circolare dei raggi mancanti, smussamento leggero), dà l’area della sezione e quindi il diametro equivalente d’area.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QC della sezione e del ramo: una sezione è accettata se ≥ 50% dei raggi trova la parete e se il rapporto assiale dell’ellisse dei momenti del poligono è ≤ 1,45 (un taglio non perpendicolare si tradisce diventando ellittico: l’area cresce di 1/cos θ). Un ramo è “ok” se ha ≥ 3 sezioni accettate con dispersione contenuta (IQR/mediana ≤ 25%); altrimenti è classificato moncone (&lt; 3 mm), obliquo, no-parete o instabile, ed escluso dalle statistiche. Dove il metodo radiale non è applicabile il diametro di ripiego deriva dalla maschera (equivalente d’area della sezione di maschera) ed è dichiarato nella colonna “metodo”: è una sottostima.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c>
          <w:tcPr>
            <w:tcW w:type="dxa" w:w="340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260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Valore</w:t>
            </w:r>
          </w:p>
        </w:tc>
        <w:tc>
          <w:tcPr>
            <w:tcW w:type="dxa" w:w="336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Raggi per sezione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radiale 0,25 mm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Tangente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 su ± 5 punti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stabile su scheletri seghettati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Ricentraggio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baricentro aria &lt; −650 HU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1,5×r + 1,5 mm (max 8)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Bordo lume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half-max aria–picco parete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salto minimo 250 HU (120 se r &lt; 1,6 mm)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QC sezione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raggi validi ≥ 50%; ax ratio ≤ 1,45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perpendicolarità/circolarità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QC ramo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3 sezioni; IQR/mediana ≤ 25%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altrimenti escluso e classificato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t xml:space="preserve">7. Spessore di parete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parete è misurata sulle stesse sezioni accettate per il calibro (stesso centro ricorretto, stessa tangente). Su ogni settore (raggio) si procede dal bordo interno del lume: il picco di parete è cercato solo entro un tetto fisiologico pari a 0,18 × diametro + 0,6 mm (limitato a 1,0–3,2 mm): la parete bronchiale non supera ~20% del calibro, e oltre quel tetto il raggio sta attraversando un vaso o il mediastino, non parete. Il bordo esterno è l’attraversamento a metà altezza tra picco e fondo parenchimale (20° percentile nei 4 mm oltre il picco; discesa richiesta ≥ 150 HU), anch’esso vincolato al tetto.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settore è valido solo se soddisfa un requisito positivo: nei 1,5 mm oltre il bordo esterno la mediana dell’attenuazione deve essere &lt; −650 HU, cioè oltre la parete deve esserci parenchima aerato. I settori dove la parete confina con vasi o mediastino non sono misurabili e vengono dichiarati non validi (non stimati). Un filtro di coerenza circolare invalida inoltre i settori il cui spessore devia dalla mediana dei vicini oltre max(0,6 mm; 50%). Lo spessore del punto è la mediana dei settori validi se questi sono ≥ 25% della circonferenza; lo spessore del ramo è la mediana sui punti accettati. Ogni valore è riportato insieme alla percentuale di settori validi.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Limite dichiarato: il metodo è un FWHM e, quando la parete vera è più sottile della risoluzione effettiva, misura in parte la funzione di diffusione del sistema: sovrastima le pareti sottili e comprime le differenze. La forma della relazione parete/generazione è informativa; il valore assoluto distale va letto come limite superiore. L’evoluzione prevista è il metodo integrale (conservazione dell’integrale di attenuazione sotto sfocatura), idealmente validato su fantoccio di tubi a spessore noto.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c>
          <w:tcPr>
            <w:tcW w:type="dxa" w:w="340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260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Valore</w:t>
            </w:r>
          </w:p>
        </w:tc>
        <w:tc>
          <w:tcPr>
            <w:tcW w:type="dxa" w:w="3360"/>
            <w:shd w:fill="EFEFEA" w:val="clea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Tetto fisiologico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0,18 × d + 0,6 mm (1,0–3,2)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picco e bordo esterno entro il tetto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Discesa oltre il picco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150 HU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verso il fondo parenchimale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parenchima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mediana &lt; −650 HU nei 1,5 mm oltre il bordo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esclude mediastino e vasi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Coerenza circolare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&gt; max(0,6 mm; 50%) → settore invalido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 i raggi “fortunati”</w:t>
            </w:r>
          </w:p>
        </w:tc>
      </w:tr>
      <w:tr>
        <w:tc>
          <w:tcPr>
            <w:tcW w:type="dxa" w:w="34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Validità minima</w:t>
            </w:r>
          </w:p>
        </w:tc>
        <w:tc>
          <w:tcPr>
            <w:tcW w:type="dxa" w:w="260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25% dei settori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altrimenti parete non riportata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t xml:space="preserve">8. Profilo longitudinale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Lungo ogni ramo vengono campionate sezioni perpendicolari ogni 1 mm (esclusi i coni di giunzione alle estremità, un raggio locale per lato), producendo le curve calibro(posizione) e parete(posizione). Le sezioni che falliscono il QC restano lacune dichiarate nella curva. Il profilo è la base per gli indici di tapering e per la localizzazione di stenosi e occlusioni (mucus plug).</w:t>
      </w:r>
    </w:p>
    <w:p>
      <w:pPr>
        <w:pStyle w:val="Heading1"/>
        <w:spacing w:after="160" w:before="320"/>
      </w:pPr>
      <w:r>
        <w:t xml:space="preserve">9. Polmoni, densitometria e dysanapsis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polmoni sono segmentati come aria (&lt; −500 HU) interna al corpo, esclusa la maschera delle vie aeree dilatata, tenendo le due componenti maggiori (≥ 150 ml) con chiusura morfologica. Si riportano: volume polmonare (l), densità polmonare media (MLD, HU), LAA-950 (% voxel &lt; −950 HU) e Perc15 (HU). Avvertenza: LAA-950 è fortemente gonfiato dai kernel di ricostruzione duri; è confrontabile solo a parità di protocollo. La dysanapsis ratio è calcolata come media geometrica dei calibri (rami QC-ok, generazioni 0–3, in cm) divisa per la radice cubica del volume polmonare (l): definizione operativa approssimata rispetto a quella di letteratura (che usa un set fisso di vie nominate), da tenere costante all’interno dello studio.</w:t>
      </w:r>
    </w:p>
    <w:p>
      <w:pPr>
        <w:pStyle w:val="Heading1"/>
        <w:spacing w:after="160" w:before="320"/>
      </w:pPr>
      <w:r>
        <w:t xml:space="preserve">10. Territori parenchimali e legge di Murray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Ogni voxel di polmone è assegnato al ramo terminale più vicino (partizione euclidea di tipo Voronoi, calcolata su griglia sottocampionata × 3, ~2,2 mm; i semi sono la metà distale di ogni terminale). Il territorio di un ramo qualunque è la somma dei territori del suo sottoalbero: per ogni ramo si ottiene così il volume di parenchima servito in ml. Verifica della legge di Murray: sui rami QC-ok con territorio &gt; 10 ml si esegue il fit log-log territorio–calibro; si riportano esponente, R² e numerosità. La teoria prevede esponente 3 (flusso ∝ d³); gli alberi reali riportano 2,5–3. L’esponente è un indice di proporzione dell’albero; le deviazioni locali dal fit identificano rami sottodimensionati rispetto al territorio servito. Limiti: partizione euclidea (non geodesica: non rispetta le scissure) e dipendenza dei territori dalla profondità di segmentazione raggiunta.</w:t>
      </w:r>
    </w:p>
    <w:p>
      <w:pPr>
        <w:pStyle w:val="Heading1"/>
        <w:spacing w:after="160" w:before="320"/>
      </w:pPr>
      <w:r>
        <w:t xml:space="preserve">11. Controllo di qualità e revisione radiologica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Ogni ramo in tabella mostra lo snapshot della sezione di misura: contorno blu = bordo del lume (half-max), archi arancio = bordo esterno della parete nei soli settori validi, barra di scala 10 mm.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Proiezione coronale e assiali con overlay della maschera per il controllo della segmentazione (da esaminare sempre prima di usare le misure).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QC automatico dichiarato per ramo (ok / moncone / obliquo / no-parete / instabile) e metodo di misura dichiarato (half-max / maschera).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Esclusione interattiva: il radiologo può escludere ogni ramo con una spunta; grafici e statistiche si ricalcolano; l’elenco degli esclusi è esportabile e va conservato come dato di studio (audit trail).</w:t>
      </w:r>
    </w:p>
    <w:p>
      <w:pPr>
        <w:pStyle w:val="Heading1"/>
        <w:spacing w:after="160" w:before="320"/>
      </w:pPr>
      <w:r>
        <w:t xml:space="preserve">12. Output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Report HTML interattivo autonomo: tile riassuntive, mappa 3D, grafici (calibro, parete e conta per generazione; Murray; profilo longitudinale), tabella per ramo con snapshot.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CSV per ramo: id, nome anatomico, generazione, lunghezza, diametro medio ed equivalente minimo, spessore di parete, % settori validi, WA%, metodo, esito QC.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Maschere NIfTI (vie aeree, polmoni) apribili in 3D Slicer sopra la TC.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Metriche di esame: volume albero, soglia di arresto (proxy di densità parenchimale), volume polmonare, MLD, LAA-950, Perc15, dysanapsis, esponente di Murray.</w:t>
      </w:r>
    </w:p>
    <w:p>
      <w:pPr>
        <w:pStyle w:val="Heading1"/>
        <w:spacing w:after="160" w:before="320"/>
      </w:pPr>
      <w:r>
        <w:t xml:space="preserve">13. Riproducibilità e versionamento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pipeline è deterministica: stesso input, stesso output. La versione (attuale: v0.13) è riportata negli output; tutti gli esami di uno studio devono essere processati con la stessa versione, e un aggiornamento della pipeline a studio in corso comporta il riprocessamento dell’intera coorte. Gli endpoint dello studio vanno pre-specificati nel protocollo prima dell’analisi.</w:t>
      </w:r>
    </w:p>
    <w:p>
      <w:pPr>
        <w:pStyle w:val="Heading1"/>
        <w:spacing w:after="160" w:before="320"/>
      </w:pPr>
      <w:r>
        <w:t xml:space="preserve">14. Limiti noti (sintesi)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La crescita regionale a soglia non raggiunge le vie oltre l’8ª–12ª diramazione; conte e territori dipendono dalla profondità raggiunta.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 spessore FWHM sovrastima le pareti sottili (limite di risoluzione); previsto metodo integrale + validazione su fantoccio.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Il diametro “da maschera” (fallback dichiarato) è una sottostima.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LAA-950 dipende fortemente dal kernel; confronti solo a parità di protocollo.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Etichette B1–B10 best effort, non complete; territori con partizione euclidea, non geodesica.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Strumento di ricerca in sviluppo: non è un dispositivo medico.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c5ca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2026-08-13T18:35:29.167Z</dcterms:created>
  <dcterms:modified xsi:type="dcterms:W3CDTF">2026-08-13T18:35:29.182Z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