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C2D40"/>
          <w:sz w:val="56"/>
        </w:rPr>
        <w:t>What Makes a Connector?</w:t>
      </w:r>
    </w:p>
    <w:p>
      <w:pPr>
        <w:spacing w:before="0" w:after="360"/>
      </w:pPr>
      <w:r>
        <w:rPr>
          <w:rFonts w:ascii="Aptos" w:hAnsi="Aptos"/>
          <w:color w:val="4B5866"/>
          <w:sz w:val="24"/>
        </w:rPr>
        <w:t>Simple definition, concept, and product rules for the unified Data Mobility + Data Refinement 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2D40"/>
                <w:sz w:val="21"/>
              </w:rPr>
              <w:t>One-sentence definition</w:t>
            </w:r>
          </w:p>
          <w:p>
            <w:pPr>
              <w:spacing w:after="0"/>
            </w:pPr>
            <w:r>
              <w:rPr>
                <w:rFonts w:ascii="Aptos" w:hAnsi="Aptos"/>
                <w:color w:val="232D37"/>
                <w:sz w:val="20"/>
              </w:rPr>
              <w:t>A Connector is a versioned, configured instance of a reusable Blueprint that deploys one external source end to end across Data Mobility and Data Refinement as a single plug-and-play product.</w:t>
            </w:r>
          </w:p>
        </w:tc>
      </w:tr>
    </w:tbl>
    <w:p>
      <w:pPr>
        <w:spacing w:after="0"/>
      </w:pPr>
    </w:p>
    <w:p>
      <w:pPr>
        <w:pStyle w:val="Heading1"/>
      </w:pPr>
      <w:r>
        <w:t>1. The idea in plain language</w:t>
      </w:r>
    </w:p>
    <w:p>
      <w:r>
        <w:rPr>
          <w:b/>
        </w:rPr>
        <w:t xml:space="preserve">A Connector answers one user question: </w:t>
      </w:r>
      <w:r>
        <w:t>“How do I connect this specific source instance to the platform without rebuilding the pipeline?”</w:t>
      </w:r>
    </w:p>
    <w:p>
      <w:r>
        <w:t>The difficult engineering work is done once in a reusable Blueprint. A user then creates one or more Connector instances by entering only the values that genuinely differ for that source instance.</w:t>
      </w:r>
    </w:p>
    <w:p>
      <w:pPr>
        <w:pStyle w:val="CodeBlock"/>
        <w:keepLines/>
        <w:shd w:fill="F5F7F9"/>
      </w:pPr>
      <w:r>
        <w:rPr>
          <w:rFonts w:ascii="DejaVu Sans Mono" w:hAnsi="DejaVu Sans Mono"/>
          <w:color w:val="263238"/>
          <w:sz w:val="17"/>
        </w:rPr>
        <w:t>Source Type            Blueprint                     Connector                 Runtime</w:t>
        <w:br/>
        <w:t>Rapid7 InsightVM  -&gt;  Rapid7 Integration v2.3  -&gt;  Rapid7 - Securado  -&gt;  deployed flows/resources</w:t>
        <w:br/>
        <w:t xml:space="preserve">                                              -&gt;  Rapid7 - Asyad     -&gt;  deployed flows/resources</w:t>
      </w:r>
    </w:p>
    <w:p>
      <w:pPr>
        <w:pStyle w:val="Heading1"/>
      </w:pPr>
      <w:r>
        <w:t>2. The four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DDEB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C2D40"/>
                <w:sz w:val="18"/>
              </w:rPr>
              <w:t>Object</w:t>
            </w:r>
          </w:p>
        </w:tc>
        <w:tc>
          <w:tcPr>
            <w:tcW w:type="dxa" w:w="5184"/>
            <w:shd w:fill="DDEB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C2D40"/>
                <w:sz w:val="18"/>
              </w:rPr>
              <w:t>Meaning</w:t>
            </w:r>
          </w:p>
        </w:tc>
        <w:tc>
          <w:tcPr>
            <w:tcW w:type="dxa" w:w="2448"/>
            <w:shd w:fill="DDEB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C2D40"/>
                <w:sz w:val="18"/>
              </w:rPr>
              <w:t>Example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Source Type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The vendor/product family. No customer configuration.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Rapid7 InsightVM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Blueprint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The reusable, tested end-to-end implementation.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Rapid7 InsightVM v2.3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Connector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One configured instance of that Blueprint.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Rapid7 - Securado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Runtime Materialization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The physical objects created by the platform.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NiFi flows, topics, tables, Refinement jobs</w:t>
            </w:r>
          </w:p>
        </w:tc>
      </w:tr>
    </w:tbl>
    <w:p>
      <w:pPr>
        <w:spacing w:after="0"/>
      </w:pPr>
    </w:p>
    <w:p>
      <w:pPr>
        <w:pStyle w:val="Heading1"/>
      </w:pPr>
      <w:r>
        <w:t>3. What the Blueprint contains</w:t>
      </w:r>
    </w:p>
    <w:p>
      <w:r>
        <w:t>The Blueprint is the reusable product definition. It carries the actual implementation needed to make the source work from ingestion through refinement.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Native Data Mobility / NiFi flows and their service/parameterized definitions.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Kafka, schema, sink, and source-entity definitions needed by the source.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Native Data Refinement / Airflow job or flow definitions.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Models, mappings, scripts, and other Refinement assets.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Per-platform manifests that explain what the native artifacts produce and consume.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A top-level manifest that joins Mobility and Refinement into one logical integration.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Typed user-parameter definitions, logical resources, bindings, tenancy capability, health expectations, lineage expectations, compatibility, and version information.</w:t>
      </w:r>
    </w:p>
    <w:p>
      <w:pPr>
        <w:pStyle w:val="Heading1"/>
      </w:pPr>
      <w:r>
        <w:t>4. What the Connector contains</w:t>
      </w:r>
    </w:p>
    <w:p>
      <w:r>
        <w:t>The Connector is the configured copy of the Blueprint for one real deployment. It stores only instance-specific choices.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Connector name / identity.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Exact Blueprint version used.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Source endpoint or base URL, when instance-specific.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Credential reference.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Collection schedule, when the Blueprint exposes it.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Single-tenant or multi-tenant mode.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Tenant identity and tenant rule values when multi-tenancy is supported.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Optional entity enable/disable choices when allowed by the Blueprint.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Minimal high-level Refinement controls.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2D40"/>
                <w:sz w:val="21"/>
              </w:rPr>
              <w:t>Core parameter rule</w:t>
            </w:r>
          </w:p>
          <w:p>
            <w:pPr>
              <w:spacing w:after="0"/>
            </w:pPr>
            <w:r>
              <w:rPr>
                <w:rFonts w:ascii="Aptos" w:hAnsi="Aptos"/>
                <w:color w:val="232D37"/>
                <w:sz w:val="20"/>
              </w:rPr>
              <w:t>If a value describes how the source integration works, it belongs in the Blueprint. If it genuinely changes between customer/source instances, it may be exposed on the Connector. If the platform can derive it, do not ask the user for it.</w:t>
            </w:r>
          </w:p>
        </w:tc>
      </w:tr>
    </w:tbl>
    <w:p>
      <w:pPr>
        <w:spacing w:after="0"/>
      </w:pPr>
    </w:p>
    <w:p>
      <w:pPr>
        <w:pStyle w:val="Heading1"/>
      </w:pPr>
      <w:r>
        <w:t>5. How Mobility and Refinement become one Connector</w:t>
      </w:r>
    </w:p>
    <w:p>
      <w:r>
        <w:t>The user must not manage a separate Mobility connector and a separate Refinement connector. The Connector sits above both engines and materializes them as one end-to-end integration.</w:t>
      </w:r>
    </w:p>
    <w:p>
      <w:pPr>
        <w:pStyle w:val="CodeBlock"/>
        <w:keepLines/>
        <w:shd w:fill="F5F7F9"/>
      </w:pPr>
      <w:r>
        <w:rPr>
          <w:rFonts w:ascii="DejaVu Sans Mono" w:hAnsi="DejaVu Sans Mono"/>
          <w:color w:val="263238"/>
          <w:sz w:val="17"/>
        </w:rPr>
        <w:t>External Source</w:t>
        <w:br/>
        <w:t xml:space="preserve">      |</w:t>
        <w:br/>
        <w:t xml:space="preserve">      v</w:t>
        <w:br/>
        <w:t>Data Mobility / NiFi</w:t>
        <w:br/>
        <w:t xml:space="preserve">      |</w:t>
        <w:br/>
        <w:t xml:space="preserve">      v</w:t>
        <w:br/>
        <w:t>Kafka + Schemas + Sinks</w:t>
        <w:br/>
        <w:t xml:space="preserve">      |</w:t>
        <w:br/>
        <w:t xml:space="preserve">      v</w:t>
        <w:br/>
        <w:t>Shared Logical Datasets</w:t>
        <w:br/>
        <w:t xml:space="preserve">      |</w:t>
        <w:br/>
        <w:t xml:space="preserve">      v</w:t>
        <w:br/>
        <w:t>Data Refinement / Airflow + Daft</w:t>
        <w:br/>
        <w:t xml:space="preserve">      |</w:t>
        <w:br/>
        <w:t xml:space="preserve">      v</w:t>
        <w:br/>
        <w:t>Silver / Canonical / Downstream Outputs</w:t>
      </w:r>
    </w:p>
    <w:p>
      <w:pPr>
        <w:pStyle w:val="Heading1"/>
      </w:pPr>
      <w:r>
        <w:t>6. Shared resources are defined once</w:t>
      </w:r>
    </w:p>
    <w:p>
      <w:r>
        <w:t>Cross-platform values must not be duplicated. A dataset produced by Mobility and consumed by Refinement is one logical resource.</w:t>
      </w:r>
    </w:p>
    <w:p>
      <w:pPr>
        <w:pStyle w:val="CodeBlock"/>
        <w:keepLines/>
        <w:shd w:fill="F5F7F9"/>
      </w:pPr>
      <w:r>
        <w:rPr>
          <w:rFonts w:ascii="DejaVu Sans Mono" w:hAnsi="DejaVu Sans Mono"/>
          <w:color w:val="263238"/>
          <w:sz w:val="17"/>
        </w:rPr>
        <w:t>Logical resource: asset.bronze.raw</w:t>
        <w:br/>
        <w:br/>
        <w:t>Mobility output  --------                          &gt;  asset.bronze.raw  -&gt;  bronze.rapid7_securado.asset__raw</w:t>
        <w:br/>
        <w:t>Refinement input --------/</w:t>
      </w:r>
    </w:p>
    <w:p>
      <w:r>
        <w:t>The same rule applies to Kafka topics, Bronze/Silver/Gold datasets, schema subjects, tenant namespaces, generated flow names, and other cross-platform resource identities.</w:t>
      </w:r>
    </w:p>
    <w:p>
      <w:pPr>
        <w:pStyle w:val="Heading1"/>
      </w:pPr>
      <w:r>
        <w:t>7. Bindings do the wiring</w:t>
      </w:r>
    </w:p>
    <w:p>
      <w:r>
        <w:t>Bindings are Blueprint-owned rules that inject Connector parameters and shared logical resources into the native artifacts. The user never configures these bindings manually.</w:t>
      </w:r>
    </w:p>
    <w:p>
      <w:pPr>
        <w:pStyle w:val="CodeBlock"/>
        <w:keepLines/>
        <w:shd w:fill="F5F7F9"/>
      </w:pPr>
      <w:r>
        <w:rPr>
          <w:rFonts w:ascii="DejaVu Sans Mono" w:hAnsi="DejaVu Sans Mono"/>
          <w:color w:val="263238"/>
          <w:sz w:val="17"/>
        </w:rPr>
        <w:t>source.base_url         -&gt; NiFi source parameter</w:t>
        <w:br/>
        <w:t>source.credential       -&gt; NiFi credential parameter</w:t>
        <w:br/>
        <w:t>asset.kafka.bronze      -&gt; Mobility publishing/sink input</w:t>
        <w:br/>
        <w:t>asset.bronze.raw        -&gt; Mobility sink output</w:t>
        <w:br/>
        <w:t>asset.bronze.raw        -&gt; Refinement input</w:t>
        <w:br/>
        <w:t>asset.silver.current    -&gt; Refinement output</w:t>
      </w:r>
    </w:p>
    <w:p>
      <w:pPr>
        <w:pStyle w:val="Heading1"/>
      </w:pPr>
      <w:r>
        <w:t>8. What users should and should not configure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032"/>
            <w:shd w:fill="DDEB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C2D40"/>
                <w:sz w:val="18"/>
              </w:rPr>
              <w:t>User may configure</w:t>
            </w:r>
          </w:p>
        </w:tc>
        <w:tc>
          <w:tcPr>
            <w:tcW w:type="dxa" w:w="5472"/>
            <w:shd w:fill="DDEB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1C2D40"/>
                <w:sz w:val="18"/>
              </w:rPr>
              <w:t>User should not normally configure</w:t>
            </w:r>
          </w:p>
        </w:tc>
      </w:tr>
      <w:t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Base URL / endpoint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API paths and pagination</w:t>
            </w:r>
          </w:p>
        </w:tc>
      </w:tr>
      <w:t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Credential reference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NiFi processor internals</w:t>
            </w:r>
          </w:p>
        </w:tc>
      </w:tr>
      <w:t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Schedule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Kafka broker / platform infrastructure</w:t>
            </w:r>
          </w:p>
        </w:tc>
      </w:tr>
      <w:t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Tenant selection/rule values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Topic/table names</w:t>
            </w:r>
          </w:p>
        </w:tc>
      </w:tr>
      <w:t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Optional entity choices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Schema registration internals</w:t>
            </w:r>
          </w:p>
        </w:tc>
      </w:tr>
      <w:tr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Minimal Refinement controls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color w:val="232D37"/>
                <w:sz w:val="17"/>
              </w:rPr>
              <w:t>Mappings, models, dedupe/merge logic</w:t>
            </w:r>
          </w:p>
        </w:tc>
      </w:tr>
    </w:tbl>
    <w:p>
      <w:pPr>
        <w:spacing w:after="0"/>
      </w:pPr>
    </w:p>
    <w:p>
      <w:pPr>
        <w:pStyle w:val="Heading1"/>
      </w:pPr>
      <w:r>
        <w:t>9. Minimal Refinement control</w:t>
      </w:r>
    </w:p>
    <w:p>
      <w:r>
        <w:t>Refinement is highly automated but not completely locked. Generic Connector-level controls should stay at a high level: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Enabled / Disabled.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Run Mode: Automatic or Manual.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Initial Load: Blueprint Default, Latest, Beginning, From Timestamp, or Last N Snapshots.</w:t>
      </w:r>
    </w:p>
    <w:p>
      <w:r>
        <w:t>Detailed transformation logic remains Blueprint-owned.</w:t>
      </w:r>
    </w:p>
    <w:p>
      <w:pPr>
        <w:pStyle w:val="Heading1"/>
      </w:pPr>
      <w:r>
        <w:t>10. Tenancy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2D40"/>
                <w:sz w:val="21"/>
              </w:rPr>
              <w:t>Default rule</w:t>
            </w:r>
          </w:p>
          <w:p>
            <w:pPr>
              <w:spacing w:after="0"/>
            </w:pPr>
            <w:r>
              <w:rPr>
                <w:rFonts w:ascii="Aptos" w:hAnsi="Aptos"/>
                <w:color w:val="232D37"/>
                <w:sz w:val="20"/>
              </w:rPr>
              <w:t>One Connector instance represents one tenant unless the selected Blueprint explicitly defines how multi-tenancy works.</w:t>
            </w:r>
          </w:p>
        </w:tc>
      </w:tr>
    </w:tbl>
    <w:p>
      <w:pPr>
        <w:spacing w:after="0"/>
      </w:pPr>
    </w:p>
    <w:p>
      <w:r>
        <w:t>The platform must never guess what 'tenant' means. A source may use a site, account, organization, location, customer ID, or another field. The Blueprint defines that semantic.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Single tenancy is the default.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Multi-tenancy is available only when the Blueprint explicitly supports it.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Each tenant-aware Mobility flow has zero or one Tenant Boundary.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The Blueprint defines the boundary, selector field, allowed operators, downstream scope, and tenant-context template.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The Connector supplies actual tenant identities and rule values.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A logical multi-tenant Connector may materialize separate physical Mobility + Refinement pipelines per tenant.</w:t>
      </w:r>
    </w:p>
    <w:p>
      <w:pPr>
        <w:pStyle w:val="CodeBlock"/>
        <w:keepLines/>
        <w:shd w:fill="F5F7F9"/>
      </w:pPr>
      <w:r>
        <w:rPr>
          <w:rFonts w:ascii="DejaVu Sans Mono" w:hAnsi="DejaVu Sans Mono"/>
          <w:color w:val="263238"/>
          <w:sz w:val="17"/>
        </w:rPr>
        <w:t>Rapid7 Production</w:t>
        <w:br/>
        <w:t xml:space="preserve">  |</w:t>
        <w:br/>
        <w:t xml:space="preserve">  +-- Securado materialization</w:t>
        <w:br/>
        <w:t xml:space="preserve">  |     +-- Mobility copy</w:t>
        <w:br/>
        <w:t xml:space="preserve">  |     +-- tenant-specific resources</w:t>
        <w:br/>
        <w:t xml:space="preserve">  |     +-- Refinement copy</w:t>
        <w:br/>
        <w:t xml:space="preserve">  |</w:t>
        <w:br/>
        <w:t xml:space="preserve">  +-- CCED materialization</w:t>
        <w:br/>
        <w:t xml:space="preserve">        +-- Mobility copy</w:t>
        <w:br/>
        <w:t xml:space="preserve">        +-- tenant-specific resources</w:t>
        <w:br/>
        <w:t xml:space="preserve">        +-- Refinement copy</w:t>
      </w:r>
    </w:p>
    <w:p>
      <w:pPr>
        <w:pStyle w:val="Heading1"/>
      </w:pPr>
      <w:r>
        <w:t>11. Versioning</w:t>
      </w:r>
    </w:p>
    <w:p>
      <w:r>
        <w:t>Connector/Blueprint releases use a simple MAJOR.MINOR version.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Examples: 1.0, 1.1, 1.2, 2.0.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Minor version = smaller compatible integration changes.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Major version = significant source/integration change.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The marketplace shows one source integration with versions underneath it, not a separate listing for every version.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A new Connector instance defaults to the latest version, but the user may select another supported version.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Existing Connector instances remain pinned to the version they were created with until explicitly upgraded.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Every artifact in one release carries the same release version. Any artifact change produces a new Connector release.</w:t>
      </w:r>
    </w:p>
    <w:p>
      <w:pPr>
        <w:pStyle w:val="CodeBlock"/>
        <w:keepLines/>
        <w:shd w:fill="F5F7F9"/>
      </w:pPr>
      <w:r>
        <w:rPr>
          <w:rFonts w:ascii="DejaVu Sans Mono" w:hAnsi="DejaVu Sans Mono"/>
          <w:color w:val="263238"/>
          <w:sz w:val="17"/>
        </w:rPr>
        <w:t>Rapid7 release 2.3</w:t>
        <w:br/>
        <w:t xml:space="preserve">  Mobility flows       2.3</w:t>
        <w:br/>
        <w:t xml:space="preserve">  Schemas              2.3</w:t>
        <w:br/>
        <w:t xml:space="preserve">  Sink definitions     2.3</w:t>
        <w:br/>
        <w:t xml:space="preserve">  Refinement flows     2.3</w:t>
        <w:br/>
        <w:t xml:space="preserve">  Models / mappings    2.3</w:t>
        <w:br/>
        <w:t xml:space="preserve">  Manifests            2.3</w:t>
      </w:r>
    </w:p>
    <w:p>
      <w:pPr>
        <w:pStyle w:val="Heading1"/>
      </w:pPr>
      <w:r>
        <w:t>12. What happens when the user deploys a Connector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1.  Choose or import the source Blueprint and version.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2.  Enter only the required instance-specific parameters.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3.  Choose single-tenant or multi-tenant mode; define tenant rules only if needed.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4.  Run Test Connection.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5.  The platform derives tenant context, namespaces, topics, schemas, tables, and other shared resources.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6.  The platform copies/materializes the native Mobility artifacts.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7.  The platform registers schemas and creates sink/runtime resources.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8.  The platform copies/materializes the native Refinement artifacts and binds them to the same shared resources.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9.  The platform validates the full end-to-end graph.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10.  The Connector becomes Ready but Stopped.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11.  The user presses Start.</w:t>
      </w:r>
    </w:p>
    <w:p>
      <w:pPr>
        <w:pStyle w:val="Heading1"/>
      </w:pPr>
      <w:r>
        <w:t>13. What does not travel with the Connector</w:t>
      </w:r>
    </w:p>
    <w:p>
      <w:r>
        <w:t>Environment infrastructure remains platform-owned: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NiFi server connection.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Kafka brokers.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Redis.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Schema Registry / Apicurio endpoint.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Airflow.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Polaris / Iceberg catalog.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S3 / MinIO.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Trino.</w:t>
      </w:r>
    </w:p>
    <w:p>
      <w:pPr>
        <w:pStyle w:val="ListBullet"/>
        <w:spacing w:after="50"/>
      </w:pPr>
      <w:r>
        <w:rPr>
          <w:rFonts w:ascii="Aptos" w:hAnsi="Aptos"/>
          <w:sz w:val="20"/>
        </w:rPr>
        <w:t>FileBrowser and other shared platform services.</w:t>
      </w:r>
    </w:p>
    <w:p>
      <w:r>
        <w:t>The Blueprint declares which capabilities it needs; the target environment resolves those requirements to its own infrastructure.</w:t>
      </w:r>
    </w:p>
    <w:p>
      <w:pPr>
        <w:pStyle w:val="Heading1"/>
      </w:pPr>
      <w:r>
        <w:t>14. Final rules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1.  Connector = configured instance; Blueprint = reusable implementation; Platform = infrastructure and materialization.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2.  Mobility and Refinement are one product experience even if they remain separate engines internally.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3.  Expose only values that genuinely vary between instances.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4.  Preserve native executable artifacts; do not reinvent all engine behavior in a new workflow language.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5.  Define cross-platform resources once and bind both sides to them.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6.  Derive topic/table/namespace/flow names instead of asking the user to type them.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7.  Single-tenant by default; never infer tenant semantics.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8.  Multi-tenancy is Blueprint-defined and materializes tenant-specific pipelines/resources.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9.  A tenant-aware Mobility flow has at most one tenant boundary.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10.  Refinement control remains minimal and high-level.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11.  One MAJOR.MINOR release version covers the whole compatible package.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12.  Instances are version-pinned and upgrades are explicit.</w:t>
      </w:r>
    </w:p>
    <w:p>
      <w:pPr>
        <w:spacing w:after="60"/>
        <w:ind w:left="317" w:hanging="259"/>
      </w:pPr>
      <w:r>
        <w:rPr>
          <w:rFonts w:ascii="Aptos" w:hAnsi="Aptos"/>
          <w:sz w:val="20"/>
        </w:rPr>
      </w:r>
      <w:r>
        <w:t>13.  A mature Connector should materialize a complete end-to-end pipeline and be ready to start.</w:t>
      </w:r>
    </w:p>
    <w:p>
      <w:pPr>
        <w:pStyle w:val="Heading1"/>
      </w:pPr>
      <w:r>
        <w:t>15. Final definition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C2D40"/>
                <w:sz w:val="21"/>
              </w:rPr>
              <w:t>Canonical definition</w:t>
            </w:r>
          </w:p>
          <w:p>
            <w:pPr>
              <w:spacing w:after="0"/>
            </w:pPr>
            <w:r>
              <w:rPr>
                <w:rFonts w:ascii="Aptos" w:hAnsi="Aptos"/>
                <w:color w:val="232D37"/>
                <w:sz w:val="20"/>
              </w:rPr>
              <w:t>A Connector is a version-pinned, configured instance of a reusable end-to-end Blueprint. The Blueprint carries the real Mobility and Refinement implementation plus the contracts that join them. The Connector supplies only the customer/source-specific values. The platform resolves shared resources, tenancy and derived names, deploys the native artifacts, validates the graph, and manages the result as one logical plug-and-play integration.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882"/>
        <w:sz w:val="16"/>
      </w:rPr>
      <w:t>Canonical Product Design • Connector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570"/>
        <w:sz w:val="17"/>
      </w:rPr>
      <w:t>Unified Connector Feature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2D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56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F4E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2D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173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