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7.8: Panduan Instruktur &amp; Kunci Solusi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K-Means Clustering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Modul &amp; Kerangka Pembelajaran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>: AI-07-08-INS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>: Kecerdasan Buatan &amp; Pembelajaran Mesin Terapan (INSTIPER)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Target Pembaca</w:t>
      </w:r>
      <w:r>
        <w:rPr>
          <w:rFonts w:ascii="Calibri" w:hAnsi="Calibri"/>
          <w:color w:val="2D3748"/>
          <w:sz w:val="22"/>
        </w:rPr>
        <w:t>: Dosen Pengampu, Asisten Praktikum, dan Laboran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>: 150 Menit (50 Menit Teori Inersia WCSS, Algoritma Lloyd, &amp; K-Means++; 70 Menit Praktikum Python Standardisasi &amp; Evaluasi Silhouette; 30 Menit Evaluasi Studi Kasus Pupuk Presisi)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Karakteristik Modul</w:t>
      </w:r>
      <w:r>
        <w:rPr>
          <w:rFonts w:ascii="Calibri" w:hAnsi="Calibri"/>
          <w:color w:val="2D3748"/>
          <w:sz w:val="22"/>
        </w:rPr>
        <w:t>: Pembelajaran Tanpa Pengawas (</w:t>
      </w:r>
      <w:r>
        <w:rPr>
          <w:rFonts w:ascii="Calibri" w:hAnsi="Calibri"/>
          <w:i/>
          <w:color w:val="2D3748"/>
          <w:sz w:val="22"/>
        </w:rPr>
        <w:t>Unsupervised Learning</w:t>
      </w:r>
      <w:r>
        <w:rPr>
          <w:rFonts w:ascii="Calibri" w:hAnsi="Calibri"/>
          <w:color w:val="2D3748"/>
          <w:sz w:val="22"/>
        </w:rPr>
        <w:t>), Partisi Geometris Centroid, Zonasi Pertanian Presisi (</w:t>
      </w:r>
      <w:r>
        <w:rPr>
          <w:rFonts w:ascii="Calibri" w:hAnsi="Calibri"/>
          <w:i/>
          <w:color w:val="2D3748"/>
          <w:sz w:val="22"/>
        </w:rPr>
        <w:t>Variable Rate Fertilization</w:t>
      </w:r>
      <w:r>
        <w:rPr>
          <w:rFonts w:ascii="Calibri" w:hAnsi="Calibri"/>
          <w:color w:val="2D3748"/>
          <w:sz w:val="22"/>
        </w:rPr>
        <w:t>)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Panduan Pedagogis &amp; Strategi Pengajaran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Peta Konseptual &amp; Alur Pembelajaran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Modul 7.8 adalah pintu gerbang menuju paradigma baru dalam kurikulum: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Transisi Monumental ke Unsupervised Learning</w:t>
      </w:r>
      <w:r>
        <w:rPr>
          <w:rFonts w:ascii="Calibri" w:hAnsi="Calibri"/>
          <w:color w:val="2D3748"/>
          <w:sz w:val="22"/>
        </w:rPr>
        <w:t xml:space="preserve">: Tegaskan kepada mahasiswa bahwa pada Modul 7.1 hingga 7.7, komputer selalu memiliki "kunci jawaban" berbentuk label target </w:t>
      </w:r>
      <m:oMath xmlns:mml="http://www.w3.org/1998/Math/MathML">
        <m:r>
          <m:t>y</m:t>
        </m:r>
      </m:oMath>
      <w:r>
        <w:rPr>
          <w:rFonts w:ascii="Calibri" w:hAnsi="Calibri"/>
          <w:color w:val="2D3748"/>
          <w:sz w:val="22"/>
        </w:rPr>
        <w:t>. Pada Modul 7.8, label tersebut ditiadakan total (</w:t>
      </w:r>
      <m:oMath xmlns:mml="http://www.w3.org/1998/Math/MathML">
        <m:r>
          <m:t>y=∅</m:t>
        </m:r>
      </m:oMath>
      <w:r>
        <w:rPr>
          <w:rFonts w:ascii="Calibri" w:hAnsi="Calibri"/>
          <w:color w:val="2D3748"/>
          <w:sz w:val="22"/>
        </w:rPr>
        <w:t>). Komputer dituntut menemukan sendiri keteraturan dan kelompok alami dari data mentah.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Konteks Spesifik INSTIPER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Analogi Tiga Truk Pupuk: Bayangkan sebuah afdeling kebun kelapa sawit yang memiliki variabilitas tanah tinggi. Manajer tidak mungkin menerapkan ratusan dosis pupuk berbeda, melainkan membaginya ke dalam 3 zona logistik pupuk: Dosis Ekstra Kalium (gambut masam), Dosis Reguler (mineral), dan Dosis Hemat (aluvial subur).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Nilai fisis centroid: Tekankan bahwa centroid hasil K-Means bukan sekadar angka abstrak, melainkan "resep agronomi rata-rata" yang dapat langsung diterjemahkan menjadi rekomendasi kilogram pupuk per pohon.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Miskonsepsi Umum Mahasiswa (*Common Misconceptions*)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 1: "K-Means dapat mengetahui secara otomatis berapa jumlah kelompok alami di kebun."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Koreksi Instruktur</w:t>
      </w:r>
      <w:r>
        <w:rPr>
          <w:rFonts w:ascii="Calibri" w:hAnsi="Calibri"/>
          <w:color w:val="2D3748"/>
          <w:sz w:val="22"/>
        </w:rPr>
        <w:t xml:space="preserve">: Luruskan bahwa 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 xml:space="preserve"> adalah hyperparameter yang wajib ditentukan manual oleh manusia. Tunjukkan bahwa metode ilmiah seperti </w:t>
      </w:r>
      <w:r>
        <w:rPr>
          <w:rFonts w:ascii="Calibri" w:hAnsi="Calibri"/>
          <w:i/>
          <w:color w:val="2D3748"/>
          <w:sz w:val="22"/>
        </w:rPr>
        <w:t>Elbow Method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alibri" w:hAnsi="Calibri"/>
          <w:i/>
          <w:color w:val="2D3748"/>
          <w:sz w:val="22"/>
        </w:rPr>
        <w:t>Silhouette Analysis</w:t>
      </w:r>
      <w:r>
        <w:rPr>
          <w:rFonts w:ascii="Calibri" w:hAnsi="Calibri"/>
          <w:color w:val="2D3748"/>
          <w:sz w:val="22"/>
        </w:rPr>
        <w:t xml:space="preserve"> adalah alat bantu objektif untuk memandu pemilihan nilai 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 2: "Tujuan utama klasterisasi adalah membuat nilai inersia WCSS sekecil mungkin."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Koreksi Instruktur</w:t>
      </w:r>
      <w:r>
        <w:rPr>
          <w:rFonts w:ascii="Calibri" w:hAnsi="Calibri"/>
          <w:color w:val="2D3748"/>
          <w:sz w:val="22"/>
        </w:rPr>
        <w:t xml:space="preserve">: Tunjukkan bahwa jika </w:t>
      </w:r>
      <m:oMath xmlns:mml="http://www.w3.org/1998/Math/MathML">
        <m:r>
          <m:t>K=N</m:t>
        </m:r>
      </m:oMath>
      <w:r>
        <w:rPr>
          <w:rFonts w:ascii="Calibri" w:hAnsi="Calibri"/>
          <w:color w:val="2D3748"/>
          <w:sz w:val="22"/>
        </w:rPr>
        <w:t xml:space="preserve">, maka nilai WCSS </w:t>
      </w:r>
      <m:oMath xmlns:mml="http://www.w3.org/1998/Math/MathML">
        <m:r>
          <m:t>=0</m:t>
        </m:r>
      </m:oMath>
      <w:r>
        <w:rPr>
          <w:rFonts w:ascii="Calibri" w:hAnsi="Calibri"/>
          <w:color w:val="2D3748"/>
          <w:sz w:val="22"/>
        </w:rPr>
        <w:t>. Namun model tersebut tidak berguna sama sekali karena setiap pohon menjadi kelompoknya sendiri. Klasterisasi yang baik adalah kompromi antara kerapatan kelompok dan keterpahaman manajerial.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 3: "Standardisasi data dengan StandardScaler tidak diperlukan pada Unsupervised Learning."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Koreksi Instruktur</w:t>
      </w:r>
      <w:r>
        <w:rPr>
          <w:rFonts w:ascii="Calibri" w:hAnsi="Calibri"/>
          <w:color w:val="2D3748"/>
          <w:sz w:val="22"/>
        </w:rPr>
        <w:t>: Tunjukkan bahaya nyata jarak Euclidean: variabel dengan angka puluhan atau ratusan (seperti Fosfor dalam ppm) akan menenggelamkan variabel pecahan desimal (seperti Kalium dalam cmol/kg) hingga 99%, membuat zonasi kalium gagal total.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&amp; Pembahasan Latihan Soal HOTS Diktat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Soal 1: Perhitungan Manual 1 Siklus Iterasi Algoritma Lloyd 1D (C3)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Data bahan organik tanah: </w:t>
      </w:r>
      <m:oMath xmlns:mml="http://www.w3.org/1998/Math/MathML">
        <m:r>
          <m:t>X={1.0,2.0,2.5,6.0,7.0,8.5}</m:t>
        </m:r>
      </m:oMath>
      <w:r>
        <w:rPr>
          <w:rFonts w:ascii="Calibri" w:hAnsi="Calibri"/>
          <w:color w:val="2D3748"/>
          <w:sz w:val="22"/>
        </w:rPr>
        <w:t xml:space="preserve">, dengan </w:t>
      </w:r>
      <m:oMath xmlns:mml="http://www.w3.org/1998/Math/MathML">
        <m:r>
          <m:t>K=2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Centroid awal iterasi </w:t>
      </w:r>
      <m:oMath xmlns:mml="http://www.w3.org/1998/Math/MathML">
        <m:r>
          <m:t>t=0</m:t>
        </m:r>
      </m:oMath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sSubSup>
          <m:e>
            <m:r>
              <m:t>μ</m:t>
            </m:r>
          </m:e>
          <m:sub>
            <m:r>
              <m:t>1</m:t>
            </m:r>
          </m:sub>
          <m:sup>
            <m:r>
              <m:t>(0)</m:t>
            </m:r>
          </m:sup>
        </m:sSubSup>
        <m:r>
          <m:t>=1.5</m:t>
        </m:r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sSubSup>
          <m:e>
            <m:r>
              <m:t>μ</m:t>
            </m:r>
          </m:e>
          <m:sub>
            <m:r>
              <m:t>2</m:t>
            </m:r>
          </m:sub>
          <m:sup>
            <m:r>
              <m:t>(0)</m:t>
            </m:r>
          </m:sup>
        </m:sSubSup>
        <m:r>
          <m:t>=7.5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1: Fase Penugasan Klaster (Assignment Step)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Hitung jarak mutlak </w:t>
      </w:r>
      <m:oMath xmlns:mml="http://www.w3.org/1998/Math/MathML">
        <m:r>
          <m:t>|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t>μ</m:t>
            </m:r>
          </m:e>
          <m:sub>
            <m:r>
              <m:t>k</m:t>
            </m:r>
          </m:sub>
        </m:sSub>
        <m:r>
          <m:t>|</m:t>
        </m:r>
      </m:oMath>
      <w:r>
        <w:rPr>
          <w:rFonts w:ascii="Calibri" w:hAnsi="Calibri"/>
          <w:color w:val="2D3748"/>
          <w:sz w:val="22"/>
        </w:rPr>
        <w:t xml:space="preserve"> ke kedua centroid: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x</m:t>
            </m:r>
          </m:e>
          <m:sub>
            <m:r>
              <m:t>1</m:t>
            </m:r>
          </m:sub>
        </m:sSub>
        <m:r>
          <m:t>=1.0</m:t>
        </m:r>
      </m:oMath>
      <w:r>
        <w:rPr>
          <w:rFonts w:ascii="Calibri" w:hAnsi="Calibri"/>
          <w:color w:val="2D3748"/>
          <w:sz w:val="22"/>
        </w:rPr>
        <w:t xml:space="preserve">: Jarak ke </w:t>
      </w:r>
      <m:oMath xmlns:mml="http://www.w3.org/1998/Math/MathML">
        <m:sSub>
          <m:e>
            <m:r>
              <m:t>μ</m:t>
            </m:r>
          </m:e>
          <m:sub>
            <m:r>
              <m:t>1</m:t>
            </m:r>
          </m:sub>
        </m:sSub>
        <m:r>
          <m:t>=|1.0−1.5|=0.5</m:t>
        </m:r>
      </m:oMath>
      <w:r>
        <w:rPr>
          <w:rFonts w:ascii="Calibri" w:hAnsi="Calibri"/>
          <w:color w:val="2D3748"/>
          <w:sz w:val="22"/>
        </w:rPr>
        <w:t xml:space="preserve">; Jarak ke </w:t>
      </w:r>
      <m:oMath xmlns:mml="http://www.w3.org/1998/Math/MathML">
        <m:sSub>
          <m:e>
            <m:r>
              <m:t>μ</m:t>
            </m:r>
          </m:e>
          <m:sub>
            <m:r>
              <m:t>2</m:t>
            </m:r>
          </m:sub>
        </m:sSub>
        <m:r>
          <m:t>=|1.0−7.5|=6.5⟹</m:t>
        </m:r>
        <m:sSub>
          <m:e>
            <m:r>
              <m:rPr>
                <m:sty m:val="b"/>
              </m:rPr>
              <m:t>S</m:t>
            </m:r>
          </m:e>
          <m:sub>
            <m:r>
              <m:rPr>
                <m:sty m:val="b"/>
              </m:rPr>
              <m:t>1</m:t>
            </m:r>
          </m:sub>
        </m:sSub>
      </m:oMath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x</m:t>
            </m:r>
          </m:e>
          <m:sub>
            <m:r>
              <m:t>2</m:t>
            </m:r>
          </m:sub>
        </m:sSub>
        <m:r>
          <m:t>=2.0</m:t>
        </m:r>
      </m:oMath>
      <w:r>
        <w:rPr>
          <w:rFonts w:ascii="Calibri" w:hAnsi="Calibri"/>
          <w:color w:val="2D3748"/>
          <w:sz w:val="22"/>
        </w:rPr>
        <w:t xml:space="preserve">: Jarak ke </w:t>
      </w:r>
      <m:oMath xmlns:mml="http://www.w3.org/1998/Math/MathML">
        <m:sSub>
          <m:e>
            <m:r>
              <m:t>μ</m:t>
            </m:r>
          </m:e>
          <m:sub>
            <m:r>
              <m:t>1</m:t>
            </m:r>
          </m:sub>
        </m:sSub>
        <m:r>
          <m:t>=|2.0−1.5|=0.5</m:t>
        </m:r>
      </m:oMath>
      <w:r>
        <w:rPr>
          <w:rFonts w:ascii="Calibri" w:hAnsi="Calibri"/>
          <w:color w:val="2D3748"/>
          <w:sz w:val="22"/>
        </w:rPr>
        <w:t xml:space="preserve">; Jarak ke </w:t>
      </w:r>
      <m:oMath xmlns:mml="http://www.w3.org/1998/Math/MathML">
        <m:sSub>
          <m:e>
            <m:r>
              <m:t>μ</m:t>
            </m:r>
          </m:e>
          <m:sub>
            <m:r>
              <m:t>2</m:t>
            </m:r>
          </m:sub>
        </m:sSub>
        <m:r>
          <m:t>=|2.0−7.5|=5.5⟹</m:t>
        </m:r>
        <m:sSub>
          <m:e>
            <m:r>
              <m:rPr>
                <m:sty m:val="b"/>
              </m:rPr>
              <m:t>S</m:t>
            </m:r>
          </m:e>
          <m:sub>
            <m:r>
              <m:rPr>
                <m:sty m:val="b"/>
              </m:rPr>
              <m:t>1</m:t>
            </m:r>
          </m:sub>
        </m:sSub>
      </m:oMath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x</m:t>
            </m:r>
          </m:e>
          <m:sub>
            <m:r>
              <m:t>3</m:t>
            </m:r>
          </m:sub>
        </m:sSub>
        <m:r>
          <m:t>=2.5</m:t>
        </m:r>
      </m:oMath>
      <w:r>
        <w:rPr>
          <w:rFonts w:ascii="Calibri" w:hAnsi="Calibri"/>
          <w:color w:val="2D3748"/>
          <w:sz w:val="22"/>
        </w:rPr>
        <w:t xml:space="preserve">: Jarak ke </w:t>
      </w:r>
      <m:oMath xmlns:mml="http://www.w3.org/1998/Math/MathML">
        <m:sSub>
          <m:e>
            <m:r>
              <m:t>μ</m:t>
            </m:r>
          </m:e>
          <m:sub>
            <m:r>
              <m:t>1</m:t>
            </m:r>
          </m:sub>
        </m:sSub>
        <m:r>
          <m:t>=|2.5−1.5|=1.0</m:t>
        </m:r>
      </m:oMath>
      <w:r>
        <w:rPr>
          <w:rFonts w:ascii="Calibri" w:hAnsi="Calibri"/>
          <w:color w:val="2D3748"/>
          <w:sz w:val="22"/>
        </w:rPr>
        <w:t xml:space="preserve">; Jarak ke </w:t>
      </w:r>
      <m:oMath xmlns:mml="http://www.w3.org/1998/Math/MathML">
        <m:sSub>
          <m:e>
            <m:r>
              <m:t>μ</m:t>
            </m:r>
          </m:e>
          <m:sub>
            <m:r>
              <m:t>2</m:t>
            </m:r>
          </m:sub>
        </m:sSub>
        <m:r>
          <m:t>=|2.5−7.5|=5.0⟹</m:t>
        </m:r>
        <m:sSub>
          <m:e>
            <m:r>
              <m:rPr>
                <m:sty m:val="b"/>
              </m:rPr>
              <m:t>S</m:t>
            </m:r>
          </m:e>
          <m:sub>
            <m:r>
              <m:rPr>
                <m:sty m:val="b"/>
              </m:rPr>
              <m:t>1</m:t>
            </m:r>
          </m:sub>
        </m:sSub>
      </m:oMath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x</m:t>
            </m:r>
          </m:e>
          <m:sub>
            <m:r>
              <m:t>4</m:t>
            </m:r>
          </m:sub>
        </m:sSub>
        <m:r>
          <m:t>=6.0</m:t>
        </m:r>
      </m:oMath>
      <w:r>
        <w:rPr>
          <w:rFonts w:ascii="Calibri" w:hAnsi="Calibri"/>
          <w:color w:val="2D3748"/>
          <w:sz w:val="22"/>
        </w:rPr>
        <w:t xml:space="preserve">: Jarak ke </w:t>
      </w:r>
      <m:oMath xmlns:mml="http://www.w3.org/1998/Math/MathML">
        <m:sSub>
          <m:e>
            <m:r>
              <m:t>μ</m:t>
            </m:r>
          </m:e>
          <m:sub>
            <m:r>
              <m:t>1</m:t>
            </m:r>
          </m:sub>
        </m:sSub>
        <m:r>
          <m:t>=|6.0−1.5|=4.5</m:t>
        </m:r>
      </m:oMath>
      <w:r>
        <w:rPr>
          <w:rFonts w:ascii="Calibri" w:hAnsi="Calibri"/>
          <w:color w:val="2D3748"/>
          <w:sz w:val="22"/>
        </w:rPr>
        <w:t xml:space="preserve">; Jarak ke </w:t>
      </w:r>
      <m:oMath xmlns:mml="http://www.w3.org/1998/Math/MathML">
        <m:sSub>
          <m:e>
            <m:r>
              <m:t>μ</m:t>
            </m:r>
          </m:e>
          <m:sub>
            <m:r>
              <m:t>2</m:t>
            </m:r>
          </m:sub>
        </m:sSub>
        <m:r>
          <m:t>=|6.0−7.5|=1.5⟹</m:t>
        </m:r>
        <m:sSub>
          <m:e>
            <m:r>
              <m:rPr>
                <m:sty m:val="b"/>
              </m:rPr>
              <m:t>S</m:t>
            </m:r>
          </m:e>
          <m:sub>
            <m:r>
              <m:rPr>
                <m:sty m:val="b"/>
              </m:rPr>
              <m:t>2</m:t>
            </m:r>
          </m:sub>
        </m:sSub>
      </m:oMath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x</m:t>
            </m:r>
          </m:e>
          <m:sub>
            <m:r>
              <m:t>5</m:t>
            </m:r>
          </m:sub>
        </m:sSub>
        <m:r>
          <m:t>=7.0</m:t>
        </m:r>
      </m:oMath>
      <w:r>
        <w:rPr>
          <w:rFonts w:ascii="Calibri" w:hAnsi="Calibri"/>
          <w:color w:val="2D3748"/>
          <w:sz w:val="22"/>
        </w:rPr>
        <w:t xml:space="preserve">: Jarak ke </w:t>
      </w:r>
      <m:oMath xmlns:mml="http://www.w3.org/1998/Math/MathML">
        <m:sSub>
          <m:e>
            <m:r>
              <m:t>μ</m:t>
            </m:r>
          </m:e>
          <m:sub>
            <m:r>
              <m:t>1</m:t>
            </m:r>
          </m:sub>
        </m:sSub>
        <m:r>
          <m:t>=|7.0−1.5|=5.5</m:t>
        </m:r>
      </m:oMath>
      <w:r>
        <w:rPr>
          <w:rFonts w:ascii="Calibri" w:hAnsi="Calibri"/>
          <w:color w:val="2D3748"/>
          <w:sz w:val="22"/>
        </w:rPr>
        <w:t xml:space="preserve">; Jarak ke </w:t>
      </w:r>
      <m:oMath xmlns:mml="http://www.w3.org/1998/Math/MathML">
        <m:sSub>
          <m:e>
            <m:r>
              <m:t>μ</m:t>
            </m:r>
          </m:e>
          <m:sub>
            <m:r>
              <m:t>2</m:t>
            </m:r>
          </m:sub>
        </m:sSub>
        <m:r>
          <m:t>=|7.0−7.5|=0.5⟹</m:t>
        </m:r>
        <m:sSub>
          <m:e>
            <m:r>
              <m:rPr>
                <m:sty m:val="b"/>
              </m:rPr>
              <m:t>S</m:t>
            </m:r>
          </m:e>
          <m:sub>
            <m:r>
              <m:rPr>
                <m:sty m:val="b"/>
              </m:rPr>
              <m:t>2</m:t>
            </m:r>
          </m:sub>
        </m:sSub>
      </m:oMath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x</m:t>
            </m:r>
          </m:e>
          <m:sub>
            <m:r>
              <m:t>6</m:t>
            </m:r>
          </m:sub>
        </m:sSub>
        <m:r>
          <m:t>=8.5</m:t>
        </m:r>
      </m:oMath>
      <w:r>
        <w:rPr>
          <w:rFonts w:ascii="Calibri" w:hAnsi="Calibri"/>
          <w:color w:val="2D3748"/>
          <w:sz w:val="22"/>
        </w:rPr>
        <w:t xml:space="preserve">: Jarak ke </w:t>
      </w:r>
      <m:oMath xmlns:mml="http://www.w3.org/1998/Math/MathML">
        <m:sSub>
          <m:e>
            <m:r>
              <m:t>μ</m:t>
            </m:r>
          </m:e>
          <m:sub>
            <m:r>
              <m:t>1</m:t>
            </m:r>
          </m:sub>
        </m:sSub>
        <m:r>
          <m:t>=|8.5−1.5|=7.0</m:t>
        </m:r>
      </m:oMath>
      <w:r>
        <w:rPr>
          <w:rFonts w:ascii="Calibri" w:hAnsi="Calibri"/>
          <w:color w:val="2D3748"/>
          <w:sz w:val="22"/>
        </w:rPr>
        <w:t xml:space="preserve">; Jarak ke </w:t>
      </w:r>
      <m:oMath xmlns:mml="http://www.w3.org/1998/Math/MathML">
        <m:sSub>
          <m:e>
            <m:r>
              <m:t>μ</m:t>
            </m:r>
          </m:e>
          <m:sub>
            <m:r>
              <m:t>2</m:t>
            </m:r>
          </m:sub>
        </m:sSub>
        <m:r>
          <m:t>=|8.5−7.5|=1.0⟹</m:t>
        </m:r>
        <m:sSub>
          <m:e>
            <m:r>
              <m:rPr>
                <m:sty m:val="b"/>
              </m:rPr>
              <m:t>S</m:t>
            </m:r>
          </m:e>
          <m:sub>
            <m:r>
              <m:rPr>
                <m:sty m:val="b"/>
              </m:rPr>
              <m:t>2</m:t>
            </m:r>
          </m:sub>
        </m:sSub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Anggota klaster:</w:t>
      </w:r>
    </w:p>
    <w:p>
      <w:pPr>
        <w:spacing w:before="120" w:after="120"/>
        <w:jc w:val="center"/>
      </w:pPr>
      <m:oMath xmlns:mml="http://www.w3.org/1998/Math/MathML">
        <m:sSubSup>
          <m:e>
            <m:r>
              <m:t>S</m:t>
            </m:r>
          </m:e>
          <m:sub>
            <m:r>
              <m:t>1</m:t>
            </m:r>
          </m:sub>
          <m:sup>
            <m:r>
              <m:t>(0)</m:t>
            </m:r>
          </m:sup>
        </m:sSubSup>
        <m:r>
          <m:t>={1.0,2.0,2.5}</m:t>
        </m:r>
        <m:r>
          <m:rPr>
            <m:nor/>
          </m:rPr>
          <m:t>dan</m:t>
        </m:r>
        <m:sSubSup>
          <m:e>
            <m:r>
              <m:t>S</m:t>
            </m:r>
          </m:e>
          <m:sub>
            <m:r>
              <m:t>2</m:t>
            </m:r>
          </m:sub>
          <m:sup>
            <m:r>
              <m:t>(0)</m:t>
            </m:r>
          </m:sup>
        </m:sSubSup>
        <m:r>
          <m:t>={6.0,7.0,8.5}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2: Fase Pembaruan Centroid (Update Step)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Hitung rata-rata aritmetika baru:</w:t>
      </w:r>
    </w:p>
    <w:p>
      <w:pPr>
        <w:spacing w:before="120" w:after="120"/>
        <w:jc w:val="center"/>
      </w:pPr>
      <m:oMath xmlns:mml="http://www.w3.org/1998/Math/MathML">
        <m:sSubSup>
          <m:e>
            <m:r>
              <m:t>μ</m:t>
            </m:r>
          </m:e>
          <m:sub>
            <m:r>
              <m:t>1</m:t>
            </m:r>
          </m:sub>
          <m:sup>
            <m:r>
              <m:t>(1)</m:t>
            </m:r>
          </m:sup>
        </m:sSubSup>
        <m:r>
          <m:t>=</m:t>
        </m:r>
        <m:f>
          <m:fPr>
            <m:type m:val="bar"/>
          </m:fPr>
          <m:num>
            <m:r>
              <m:t>1.0+2.0+2.5</m:t>
            </m:r>
          </m:num>
          <m:den>
            <m:r>
              <m:t>3</m:t>
            </m:r>
          </m:den>
        </m:f>
        <m:r>
          <m:t>=</m:t>
        </m:r>
        <m:f>
          <m:fPr>
            <m:type m:val="bar"/>
          </m:fPr>
          <m:num>
            <m:r>
              <m:t>5.5</m:t>
            </m:r>
          </m:num>
          <m:den>
            <m:r>
              <m:t>3</m:t>
            </m:r>
          </m:den>
        </m:f>
        <m:r>
          <m:t>≈</m:t>
        </m:r>
        <m:r>
          <m:rPr>
            <m:sty m:val="b"/>
          </m:rPr>
          <m:t>1.8333</m:t>
        </m:r>
      </m:oMath>
    </w:p>
    <w:p>
      <w:pPr>
        <w:spacing w:before="120" w:after="120"/>
        <w:jc w:val="center"/>
      </w:pPr>
      <m:oMath xmlns:mml="http://www.w3.org/1998/Math/MathML">
        <m:sSubSup>
          <m:e>
            <m:r>
              <m:t>μ</m:t>
            </m:r>
          </m:e>
          <m:sub>
            <m:r>
              <m:t>2</m:t>
            </m:r>
          </m:sub>
          <m:sup>
            <m:r>
              <m:t>(1)</m:t>
            </m:r>
          </m:sup>
        </m:sSubSup>
        <m:r>
          <m:t>=</m:t>
        </m:r>
        <m:f>
          <m:fPr>
            <m:type m:val="bar"/>
          </m:fPr>
          <m:num>
            <m:r>
              <m:t>6.0+7.0+8.5</m:t>
            </m:r>
          </m:num>
          <m:den>
            <m:r>
              <m:t>3</m:t>
            </m:r>
          </m:den>
        </m:f>
        <m:r>
          <m:t>=</m:t>
        </m:r>
        <m:f>
          <m:fPr>
            <m:type m:val="bar"/>
          </m:fPr>
          <m:num>
            <m:r>
              <m:t>21.5</m:t>
            </m:r>
          </m:num>
          <m:den>
            <m:r>
              <m:t>3</m:t>
            </m:r>
          </m:den>
        </m:f>
        <m:r>
          <m:t>≈</m:t>
        </m:r>
        <m:r>
          <m:rPr>
            <m:sty m:val="b"/>
          </m:rPr>
          <m:t>7.1667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3: Perhitungan Inersia WCSS pada Akhir Siklus Pertama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Klaster 1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(1.0−1.8333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+(2.0−1.8333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+(2.5−1.8333</m:t>
        </m:r>
        <m:sSup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spacing w:before="120" w:after="120"/>
        <w:jc w:val="center"/>
      </w:pPr>
      <m:oMath xmlns:mml="http://www.w3.org/1998/Math/MathML">
        <m:r>
          <m:t>=(−0.8333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+(0.1667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+(0.6667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=0.6944+0.0278+0.4444=</m:t>
        </m:r>
        <m:r>
          <m:rPr>
            <m:sty m:val="b"/>
          </m:rPr>
          <m:t>1.1667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Klaster 2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(6.0−7.1667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+(7.0−7.1667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+(8.5−7.1667</m:t>
        </m:r>
        <m:sSup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spacing w:before="120" w:after="120"/>
        <w:jc w:val="center"/>
      </w:pPr>
      <m:oMath xmlns:mml="http://www.w3.org/1998/Math/MathML">
        <m:r>
          <m:t>=(−1.1667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+(−0.1667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+(1.3333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=1.3611+0.0278+1.7778=</m:t>
        </m:r>
        <m:r>
          <m:rPr>
            <m:sty m:val="b"/>
          </m:rPr>
          <m:t>3.1667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Total WCSS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J=1.1667+3.1667=</m:t>
        </m:r>
        <m:r>
          <m:rPr>
            <m:sty m:val="b"/>
          </m:rPr>
          <m:t>4.3334</m:t>
        </m:r>
      </m:oMath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Soal 2: Komputasi Manual Koefisien Silhouette (C3)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Data klaster 1D: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Klaster A: </w:t>
      </w:r>
      <m:oMath xmlns:mml="http://www.w3.org/1998/Math/MathML">
        <m:sSub>
          <m:e>
            <m:r>
              <m:t>S</m:t>
            </m:r>
          </m:e>
          <m:sub>
            <m:r>
              <m:t>A</m:t>
            </m:r>
          </m:sub>
        </m:sSub>
        <m:r>
          <m:t>={2.0,4.0,6.0}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Klaster B: </w:t>
      </w:r>
      <m:oMath xmlns:mml="http://www.w3.org/1998/Math/MathML">
        <m:sSub>
          <m:e>
            <m:r>
              <m:t>S</m:t>
            </m:r>
          </m:e>
          <m:sub>
            <m:r>
              <m:t>B</m:t>
            </m:r>
          </m:sub>
        </m:sSub>
        <m:r>
          <m:t>={10.0,12.0,14.0}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Sampel target: </w:t>
      </w:r>
      <m:oMath xmlns:mml="http://www.w3.org/1998/Math/MathML">
        <m:sSub>
          <m:e>
            <m:r>
              <m:t>x</m:t>
            </m:r>
          </m:e>
          <m:sub>
            <m:r>
              <m:t>i</m:t>
            </m:r>
          </m:sub>
        </m:sSub>
        <m:r>
          <m:t>=6.0∈</m:t>
        </m:r>
        <m:sSub>
          <m:e>
            <m:r>
              <m:t>S</m:t>
            </m:r>
          </m:e>
          <m:sub>
            <m:r>
              <m:t>A</m:t>
            </m:r>
          </m:sub>
        </m:sSub>
      </m:oMath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1: Menghitung Kerapatan Internal $a(i)$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Rata-rata jarak dari </w:t>
      </w:r>
      <m:oMath xmlns:mml="http://www.w3.org/1998/Math/MathML">
        <m:sSub>
          <m:e>
            <m:r>
              <m:t>x</m:t>
            </m:r>
          </m:e>
          <m:sub>
            <m:r>
              <m:t>i</m:t>
            </m:r>
          </m:sub>
        </m:sSub>
        <m:r>
          <m:t>=6.0</m:t>
        </m:r>
      </m:oMath>
      <w:r>
        <w:rPr>
          <w:rFonts w:ascii="Calibri" w:hAnsi="Calibri"/>
          <w:color w:val="2D3748"/>
          <w:sz w:val="22"/>
        </w:rPr>
        <w:t xml:space="preserve"> ke sampel lain di dalam Klaster A:</w:t>
      </w:r>
    </w:p>
    <w:p>
      <w:pPr>
        <w:spacing w:before="120" w:after="120"/>
        <w:jc w:val="center"/>
      </w:pPr>
      <m:oMath xmlns:mml="http://www.w3.org/1998/Math/MathML">
        <m:r>
          <m:t>a(i)=</m:t>
        </m:r>
        <m:f>
          <m:fPr>
            <m:type m:val="bar"/>
          </m:fPr>
          <m:num>
            <m:r>
              <m:t>|6.0−2.0|+|6.0−4.0|</m:t>
            </m:r>
          </m:num>
          <m:den>
            <m:r>
              <m:t>2</m:t>
            </m:r>
          </m:den>
        </m:f>
        <m:r>
          <m:t>=</m:t>
        </m:r>
        <m:f>
          <m:fPr>
            <m:type m:val="bar"/>
          </m:fPr>
          <m:num>
            <m:r>
              <m:t>4.0+2.0</m:t>
            </m:r>
          </m:num>
          <m:den>
            <m:r>
              <m:t>2</m:t>
            </m:r>
          </m:den>
        </m:f>
        <m:r>
          <m:t>=</m:t>
        </m:r>
        <m:f>
          <m:fPr>
            <m:type m:val="bar"/>
          </m:fPr>
          <m:num>
            <m:r>
              <m:t>6.0</m:t>
            </m:r>
          </m:num>
          <m:den>
            <m:r>
              <m:t>2</m:t>
            </m:r>
          </m:den>
        </m:f>
        <m:r>
          <m:t>=</m:t>
        </m:r>
        <m:r>
          <m:rPr>
            <m:sty m:val="b"/>
          </m:rPr>
          <m:t>3.000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2: Menghitung Keterpisahan Eksternal $b(i)$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Rata-rata jarak dari </w:t>
      </w:r>
      <m:oMath xmlns:mml="http://www.w3.org/1998/Math/MathML">
        <m:sSub>
          <m:e>
            <m:r>
              <m:t>x</m:t>
            </m:r>
          </m:e>
          <m:sub>
            <m:r>
              <m:t>i</m:t>
            </m:r>
          </m:sub>
        </m:sSub>
        <m:r>
          <m:t>=6.0</m:t>
        </m:r>
      </m:oMath>
      <w:r>
        <w:rPr>
          <w:rFonts w:ascii="Calibri" w:hAnsi="Calibri"/>
          <w:color w:val="2D3748"/>
          <w:sz w:val="22"/>
        </w:rPr>
        <w:t xml:space="preserve"> ke seluruh sampel di Klaster B:</w:t>
      </w:r>
    </w:p>
    <w:p>
      <w:pPr>
        <w:spacing w:before="120" w:after="120"/>
        <w:jc w:val="center"/>
      </w:pPr>
      <m:oMath xmlns:mml="http://www.w3.org/1998/Math/MathML">
        <m:r>
          <m:t>b(i)=</m:t>
        </m:r>
        <m:f>
          <m:fPr>
            <m:type m:val="bar"/>
          </m:fPr>
          <m:num>
            <m:r>
              <m:t>|6.0−10.0|+|6.0−12.0|+|6.0−14.0|</m:t>
            </m:r>
          </m:num>
          <m:den>
            <m:r>
              <m:t>3</m:t>
            </m:r>
          </m:den>
        </m:f>
        <m:r>
          <m:t>=</m:t>
        </m:r>
        <m:f>
          <m:fPr>
            <m:type m:val="bar"/>
          </m:fPr>
          <m:num>
            <m:r>
              <m:t>4.0+6.0+8.0</m:t>
            </m:r>
          </m:num>
          <m:den>
            <m:r>
              <m:t>3</m:t>
            </m:r>
          </m:den>
        </m:f>
        <m:r>
          <m:t>=</m:t>
        </m:r>
        <m:f>
          <m:fPr>
            <m:type m:val="bar"/>
          </m:fPr>
          <m:num>
            <m:r>
              <m:t>18.0</m:t>
            </m:r>
          </m:num>
          <m:den>
            <m:r>
              <m:t>3</m:t>
            </m:r>
          </m:den>
        </m:f>
        <m:r>
          <m:t>=</m:t>
        </m:r>
        <m:r>
          <m:rPr>
            <m:sty m:val="b"/>
          </m:rPr>
          <m:t>6.000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3: Menghitung Koefisien Silhouette $s(i)$</w:t>
      </w:r>
    </w:p>
    <w:p>
      <w:pPr>
        <w:spacing w:before="120" w:after="120"/>
        <w:jc w:val="center"/>
      </w:pPr>
      <m:oMath xmlns:mml="http://www.w3.org/1998/Math/MathML">
        <m:r>
          <m:t>s(i)=</m:t>
        </m:r>
        <m:f>
          <m:fPr>
            <m:type m:val="bar"/>
          </m:fPr>
          <m:num>
            <m:r>
              <m:t>b(i)−a(i)</m:t>
            </m:r>
          </m:num>
          <m:den>
            <m:r>
              <m:t>max(a(i),b(i))</m:t>
            </m:r>
          </m:den>
        </m:f>
        <m:r>
          <m:t>=</m:t>
        </m:r>
        <m:f>
          <m:fPr>
            <m:type m:val="bar"/>
          </m:fPr>
          <m:num>
            <m:r>
              <m:t>6.000−3.000</m:t>
            </m:r>
          </m:num>
          <m:den>
            <m:r>
              <m:t>max(3.000,6.000)</m:t>
            </m:r>
          </m:den>
        </m:f>
        <m:r>
          <m:t>=</m:t>
        </m:r>
        <m:f>
          <m:fPr>
            <m:type m:val="bar"/>
          </m:fPr>
          <m:num>
            <m:r>
              <m:t>3.000</m:t>
            </m:r>
          </m:num>
          <m:den>
            <m:r>
              <m:t>6.000</m:t>
            </m:r>
          </m:den>
        </m:f>
        <m:r>
          <m:t>=</m:t>
        </m:r>
        <m:r>
          <m:rPr>
            <m:sty m:val="b"/>
          </m:rPr>
          <m:t>+0.5000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4: Interpretasi Hasil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Nilai </w:t>
      </w:r>
      <m:oMath xmlns:mml="http://www.w3.org/1998/Math/MathML">
        <m:r>
          <m:t>s(i)=+0.50</m:t>
        </m:r>
      </m:oMath>
      <w:r>
        <w:rPr>
          <w:rFonts w:ascii="Calibri" w:hAnsi="Calibri"/>
          <w:color w:val="2D3748"/>
          <w:sz w:val="22"/>
        </w:rPr>
        <w:t xml:space="preserve"> menunjukkan bahwa sampel </w:t>
      </w:r>
      <m:oMath xmlns:mml="http://www.w3.org/1998/Math/MathML">
        <m:sSub>
          <m:e>
            <m:r>
              <m:t>x</m:t>
            </m:r>
          </m:e>
          <m:sub>
            <m:r>
              <m:t>i</m:t>
            </m:r>
          </m:sub>
        </m:sSub>
        <m:r>
          <m:t>=6.0</m:t>
        </m:r>
      </m:oMath>
      <w:r>
        <w:rPr>
          <w:rFonts w:ascii="Calibri" w:hAnsi="Calibri"/>
          <w:color w:val="2D3748"/>
          <w:sz w:val="22"/>
        </w:rPr>
        <w:t xml:space="preserve"> tergolong terklaster dengan baik. Sampel berada dua kali lebih dekat ke rekan sekelompoknya (</w:t>
      </w:r>
      <m:oMath xmlns:mml="http://www.w3.org/1998/Math/MathML">
        <m:r>
          <m:t>a=3.0</m:t>
        </m:r>
      </m:oMath>
      <w:r>
        <w:rPr>
          <w:rFonts w:ascii="Calibri" w:hAnsi="Calibri"/>
          <w:color w:val="2D3748"/>
          <w:sz w:val="22"/>
        </w:rPr>
        <w:t>) dibandingkan ke kelompok tetangga terdekatnya (</w:t>
      </w:r>
      <m:oMath xmlns:mml="http://www.w3.org/1998/Math/MathML">
        <m:r>
          <m:t>b=6.0</m:t>
        </m:r>
      </m:oMath>
      <w:r>
        <w:rPr>
          <w:rFonts w:ascii="Calibri" w:hAnsi="Calibri"/>
          <w:color w:val="2D3748"/>
          <w:sz w:val="22"/>
        </w:rPr>
        <w:t>), tidak ada indikasi salah penempatan zona.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Soal 3: Analisis Konvergensi Inersia WCSS &amp; Algoritma K-Means++ (C4)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1. Pembuktian Penurunan Monotonik WCSS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Pada setiap iterasi algoritma Lloyd: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Fase Penugasan</w:t>
      </w:r>
      <w:r>
        <w:rPr>
          <w:rFonts w:ascii="Calibri" w:hAnsi="Calibri"/>
          <w:color w:val="2D3748"/>
          <w:sz w:val="22"/>
        </w:rPr>
        <w:t xml:space="preserve">: Setiap titik </w:t>
      </w:r>
      <m:oMath xmlns:mml="http://www.w3.org/1998/Math/MathML">
        <m:sSub>
          <m:e>
            <m:r>
              <m:t>𝐱</m:t>
            </m:r>
          </m:e>
          <m:sub>
            <m:r>
              <m:t>i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dipindahkan ke centroid yang memiliki jarak kuadrat </w:t>
      </w:r>
      <m:oMath xmlns:mml="http://www.w3.org/1998/Math/MathML">
        <m:r>
          <m:t>‖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rPr>
                <m:sty m:val="bi"/>
              </m:rPr>
              <m:t>μ</m:t>
            </m:r>
          </m:e>
          <m:sub>
            <m:r>
              <m:t>k</m:t>
            </m:r>
          </m:sub>
        </m:sSub>
        <m:sSup>
          <m:e>
            <m:r>
              <m:t>‖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terkecil. Pemindahan ini dijamin menurunkan atau minimal mempertahankan nilai </w:t>
      </w:r>
      <m:oMath xmlns:mml="http://www.w3.org/1998/Math/MathML">
        <m:r>
          <m:t>J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Fase Pembaruan</w:t>
      </w:r>
      <w:r>
        <w:rPr>
          <w:rFonts w:ascii="Calibri" w:hAnsi="Calibri"/>
          <w:color w:val="2D3748"/>
          <w:sz w:val="22"/>
        </w:rPr>
        <w:t xml:space="preserve">: Posisi centroid baru dihitung sebagai rata-rata aritmetika sampel anggotanya. Secara kalkulus, rata-rata aritmetika adalah titik stasioner unik yang meminimalkan turunan jumlah kuadrat </w:t>
      </w:r>
      <m:oMath xmlns:mml="http://www.w3.org/1998/Math/MathML">
        <m:r>
          <m:t>∑(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rPr>
                <m:sty m:val="bi"/>
              </m:rPr>
              <m:t>μ</m:t>
            </m:r>
          </m:e>
          <m:sub>
            <m:r>
              <m:t>k</m:t>
            </m:r>
          </m:sub>
        </m:sSub>
        <m:sSup>
          <m:e>
            <m:r>
              <m:t>)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. Oleh karena itu, pembaruan centroid selalu menurunkan atau mempertahankan nilai </w:t>
      </w:r>
      <m:oMath xmlns:mml="http://www.w3.org/1998/Math/MathML">
        <m:r>
          <m:t>J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Karena kedua fase selalu menurunkan </w:t>
      </w:r>
      <m:oMath xmlns:mml="http://www.w3.org/1998/Math/MathML">
        <m:r>
          <m:t>J</m:t>
        </m:r>
      </m:oMath>
      <w:r>
        <w:rPr>
          <w:rFonts w:ascii="Calibri" w:hAnsi="Calibri"/>
          <w:color w:val="2D3748"/>
          <w:sz w:val="22"/>
        </w:rPr>
        <w:t xml:space="preserve"> dan fungsi kuadrat memiliki batas bawah nol (</w:t>
      </w:r>
      <m:oMath xmlns:mml="http://www.w3.org/1998/Math/MathML">
        <m:r>
          <m:t>J≥0</m:t>
        </m:r>
      </m:oMath>
      <w:r>
        <w:rPr>
          <w:rFonts w:ascii="Calibri" w:hAnsi="Calibri"/>
          <w:color w:val="2D3748"/>
          <w:sz w:val="22"/>
        </w:rPr>
        <w:t>), maka algoritma Lloyd dijamin konvergen secara monotonik.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2. Mengapa Penurunan WCSS Tidak Menjamin Optimum Global Mutlak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Fungsi WCSS adalah permukaan non-konveks (</w:t>
      </w:r>
      <w:r>
        <w:rPr>
          <w:rFonts w:ascii="Calibri" w:hAnsi="Calibri"/>
          <w:i/>
          <w:color w:val="2D3748"/>
          <w:sz w:val="22"/>
        </w:rPr>
        <w:t>non-convex landscape</w:t>
      </w:r>
      <w:r>
        <w:rPr>
          <w:rFonts w:ascii="Calibri" w:hAnsi="Calibri"/>
          <w:color w:val="2D3748"/>
          <w:sz w:val="22"/>
        </w:rPr>
        <w:t xml:space="preserve">) dengan banyak cekungan minimum lokal. Karena algoritma Lloyd bersifat </w:t>
      </w:r>
      <w:r>
        <w:rPr>
          <w:rFonts w:ascii="Calibri" w:hAnsi="Calibri"/>
          <w:i/>
          <w:color w:val="2D3748"/>
          <w:sz w:val="22"/>
        </w:rPr>
        <w:t>greedy</w:t>
      </w:r>
      <w:r>
        <w:rPr>
          <w:rFonts w:ascii="Calibri" w:hAnsi="Calibri"/>
          <w:color w:val="2D3748"/>
          <w:sz w:val="22"/>
        </w:rPr>
        <w:t>, jika inisialisasi awal buruk (misalnya dua centroid awal jatuh di klaster padat yang sama), algoritma akan terjebak pada partisi lokal yang keliru seumur hidupnya.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Peran K-Means++</w:t>
      </w:r>
      <w:r>
        <w:rPr>
          <w:rFonts w:ascii="Calibri" w:hAnsi="Calibri"/>
          <w:color w:val="2D3748"/>
          <w:sz w:val="22"/>
        </w:rPr>
        <w:t xml:space="preserve">: Algoritma K-Means++ menyebarkan centroid awal secara probabilistik sebanding dengan </w:t>
      </w:r>
      <m:oMath xmlns:mml="http://www.w3.org/1998/Math/MathML">
        <m:r>
          <m:t>D(𝐱</m:t>
        </m:r>
        <m:sSup>
          <m:e>
            <m:r>
              <m:t>)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. Titik yang jauh dari centroid yang sudah ada memiliki peluang terpilih jauh lebih tinggi. Secara matematis, K-Means++ membuktikan bahwa nilai ekspektasi WCSS yang dihasilkan berada dalam batas </w:t>
      </w:r>
      <m:oMath xmlns:mml="http://www.w3.org/1998/Math/MathML">
        <m:r>
          <m:t>𝒪(</m:t>
        </m:r>
        <m:r>
          <m:rPr>
            <m:sty m:val="p"/>
          </m:rPr>
          <m:t>log</m:t>
        </m:r>
        <m:r>
          <m:t>K)</m:t>
        </m:r>
      </m:oMath>
      <w:r>
        <w:rPr>
          <w:rFonts w:ascii="Calibri" w:hAnsi="Calibri"/>
          <w:color w:val="2D3748"/>
          <w:sz w:val="22"/>
        </w:rPr>
        <w:t xml:space="preserve"> dari solusi optimal global mutlak.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3. Kritik terhadap Usulan $K = 20$ untuk 100 Pohon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Kritik Agronomi</w:t>
      </w:r>
      <w:r>
        <w:rPr>
          <w:rFonts w:ascii="Calibri" w:hAnsi="Calibri"/>
          <w:color w:val="2D3748"/>
          <w:sz w:val="22"/>
        </w:rPr>
        <w:t xml:space="preserve">: Menetapkan </w:t>
      </w:r>
      <m:oMath xmlns:mml="http://www.w3.org/1998/Math/MathML">
        <m:r>
          <m:t>K=20</m:t>
        </m:r>
      </m:oMath>
      <w:r>
        <w:rPr>
          <w:rFonts w:ascii="Calibri" w:hAnsi="Calibri"/>
          <w:color w:val="2D3748"/>
          <w:sz w:val="22"/>
        </w:rPr>
        <w:t xml:space="preserve"> zona untuk 100 pohon menghasilkan rata-rata hanya 5 pohon per zona! Secara operasional, operator traktor atau mandor pemupuk tidak mungkin mengganti takaran pupuk setiap berpindah 5 pohon. Ini adalah kekacauan logistik yang memicu biaya operasional jauh lebih mahal daripada penghematan pupuknya.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Kritik Statistik</w:t>
      </w:r>
      <w:r>
        <w:rPr>
          <w:rFonts w:ascii="Calibri" w:hAnsi="Calibri"/>
          <w:color w:val="2D3748"/>
          <w:sz w:val="22"/>
        </w:rPr>
        <w:t xml:space="preserve">: Memilih 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 xml:space="preserve"> yang terlalu besar mendekati ukuran data adalah bentuk </w:t>
      </w:r>
      <w:r>
        <w:rPr>
          <w:rFonts w:ascii="Calibri" w:hAnsi="Calibri"/>
          <w:i/>
          <w:color w:val="2D3748"/>
          <w:sz w:val="22"/>
        </w:rPr>
        <w:t>overfitting klaster</w:t>
      </w:r>
      <w:r>
        <w:rPr>
          <w:rFonts w:ascii="Calibri" w:hAnsi="Calibri"/>
          <w:color w:val="2D3748"/>
          <w:sz w:val="22"/>
        </w:rPr>
        <w:t>. Model kehilangan daya abstraksi dan merangkum derau data lokal, bukan pola variabilitas tanah yang sesungguhnya.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Kunci Solusi Tugas Praktikum Notebook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4.1 Efek Inisialisasi Acak vs K-Means++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Ketika diuji dengan </w:t>
      </w:r>
      <w:r>
        <w:rPr>
          <w:rFonts w:ascii="Consolas" w:hAnsi="Consolas"/>
          <w:color w:val="9C1A1A"/>
          <w:sz w:val="19"/>
        </w:rPr>
        <w:t>init='random'</w:t>
      </w:r>
      <w:r>
        <w:rPr>
          <w:rFonts w:ascii="Calibri" w:hAnsi="Calibri"/>
          <w:color w:val="2D3748"/>
          <w:sz w:val="22"/>
        </w:rPr>
        <w:t xml:space="preserve"> sebanyak 10 kali: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Terjadi fluktuasi nilai inersia akhir (berkisar antara 160 hingga 240) karena model beberapa kali terjebak pada minimum lokal.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Ketika diuji dengan </w:t>
      </w:r>
      <w:r>
        <w:rPr>
          <w:rFonts w:ascii="Consolas" w:hAnsi="Consolas"/>
          <w:color w:val="9C1A1A"/>
          <w:sz w:val="19"/>
        </w:rPr>
        <w:t>init='k-means++'</w:t>
      </w:r>
      <w:r>
        <w:rPr>
          <w:rFonts w:ascii="Calibri" w:hAnsi="Calibri"/>
          <w:color w:val="2D3748"/>
          <w:sz w:val="22"/>
        </w:rPr>
        <w:t>, inersia konvergen secara konsisten pada nilai terendah (~155) dengan skor Silhouette stabil pada ~0.695.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4.2 Klasterisasi Tanpa StandardScaler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Ketika </w:t>
      </w:r>
      <w:r>
        <w:rPr>
          <w:rFonts w:ascii="Consolas" w:hAnsi="Consolas"/>
          <w:color w:val="9C1A1A"/>
          <w:sz w:val="19"/>
        </w:rPr>
        <w:t>StandardScaler</w:t>
      </w:r>
      <w:r>
        <w:rPr>
          <w:rFonts w:ascii="Calibri" w:hAnsi="Calibri"/>
          <w:color w:val="2D3748"/>
          <w:sz w:val="22"/>
        </w:rPr>
        <w:t xml:space="preserve"> diabaikan: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Variabel Fosfor (</w:t>
      </w:r>
      <w:r>
        <w:rPr>
          <w:rFonts w:ascii="Consolas" w:hAnsi="Consolas"/>
          <w:color w:val="9C1A1A"/>
          <w:sz w:val="19"/>
        </w:rPr>
        <w:t>P_Tersedia_ppm</w:t>
      </w:r>
      <w:r>
        <w:rPr>
          <w:rFonts w:ascii="Calibri" w:hAnsi="Calibri"/>
          <w:color w:val="2D3748"/>
          <w:sz w:val="22"/>
        </w:rPr>
        <w:t>) yang bernilai puluhan mendominasi 80% pembentukan klaster.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Variabel Kalium (</w:t>
      </w:r>
      <w:r>
        <w:rPr>
          <w:rFonts w:ascii="Consolas" w:hAnsi="Consolas"/>
          <w:color w:val="9C1A1A"/>
          <w:sz w:val="19"/>
        </w:rPr>
        <w:t>K_dd_cmol_kg</w:t>
      </w:r>
      <w:r>
        <w:rPr>
          <w:rFonts w:ascii="Calibri" w:hAnsi="Calibri"/>
          <w:color w:val="2D3748"/>
          <w:sz w:val="22"/>
        </w:rPr>
        <w:t xml:space="preserve">) yang bernilai </w:t>
      </w:r>
      <m:oMath xmlns:mml="http://www.w3.org/1998/Math/MathML">
        <m:r>
          <m:t>0.1−1.2</m:t>
        </m:r>
      </m:oMath>
      <w:r>
        <w:rPr>
          <w:rFonts w:ascii="Calibri" w:hAnsi="Calibri"/>
          <w:color w:val="2D3748"/>
          <w:sz w:val="22"/>
        </w:rPr>
        <w:t xml:space="preserve"> terabaikan total, sehingga tanah yang mengalami defisiensi kalium parah tidak dapat teridentifikasi oleh sistem zonasi.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Rubrik Penilaian Berbasis Outcome-Based Education (OBE)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Ranah Kognitif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 (%)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 Luaran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C2 (Pemahaman)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Teori Inersia WCSS, Siklus Lloyd, &amp; K-Means++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menguraikan formulasi WCSS, membedah 2 fase algoritma Lloyd, dan menerangkan keunggulan inisialisasi probabilistik K-Means++.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C3 (Penerapan)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Standardisasi Pipeline, K-Means &amp; Evaluasi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35%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Mampu mengintegrasikan </w:t>
            </w:r>
            <w:r>
              <w:rPr>
                <w:rFonts w:ascii="Consolas" w:hAnsi="Consolas"/>
                <w:color w:val="9C1A1A"/>
                <w:sz w:val="19"/>
              </w:rPr>
              <w:t>StandardScaler</w:t>
            </w:r>
            <w:r>
              <w:rPr>
                <w:rFonts w:ascii="Calibri" w:hAnsi="Calibri"/>
                <w:color w:val="2D3748"/>
                <w:sz w:val="19"/>
              </w:rPr>
              <w:t>, membuat grafik Elbow &amp; Silhouette, serta mentransformasikan centroid ke satuan agronomi asli.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C4 (Analisis)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Optimasi Partisi, Analisis Biaya &amp; Transisi PCA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40%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menganalisis batas optimum lokal, mengevaluasi kelayakan logistik pemupukan VRF, serta mengartikulasikan kebutuhan reduksi dimensi PCA.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Jembatan Pedagogis ke AI Modul 7.9 (Principal Component Analysis)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 akhir sesi praktikum modul 7.8, instruktur disarankan memfasilitasi diskusi kritis mengenai keterbatasan visualisasi: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Tantangan Ruang Multidimensi</w:t>
      </w:r>
      <w:r>
        <w:rPr>
          <w:rFonts w:ascii="Calibri" w:hAnsi="Calibri"/>
          <w:color w:val="2D3748"/>
          <w:sz w:val="22"/>
        </w:rPr>
        <w:t xml:space="preserve">: Pada praktikum 7.8, kita memiliki 5 variabel tanah, namun kita terpaksa hanya memplot 2 variabel (N vs K) pada grafik 2D. Tanyakan: </w:t>
      </w:r>
      <w:r>
        <w:rPr>
          <w:rFonts w:ascii="Calibri" w:hAnsi="Calibri"/>
          <w:i/>
          <w:color w:val="2D3748"/>
          <w:sz w:val="22"/>
        </w:rPr>
        <w:t>"Bagaimana dengan variabilitas 3 fitur lainnya (P, pH, Bahan Organik)? Bukankah ada informasi penting yang terpotong saat kita hanya melihat 2 sumbu?"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Kutukan Multikolinieritas</w:t>
      </w:r>
      <w:r>
        <w:rPr>
          <w:rFonts w:ascii="Calibri" w:hAnsi="Calibri"/>
          <w:color w:val="2D3748"/>
          <w:sz w:val="22"/>
        </w:rPr>
        <w:t>: Tunjukkan bahwa dalam survei tanah modern dengan 30 variabel hara, banyak fitur yang saling tumpang tindih.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Mengantarkan Reduksi Dimensi PCA</w:t>
      </w:r>
      <w:r>
        <w:rPr>
          <w:rFonts w:ascii="Calibri" w:hAnsi="Calibri"/>
          <w:color w:val="2D3748"/>
          <w:sz w:val="22"/>
        </w:rPr>
        <w:t>: Buka wawasan bahwa pada pertemuan berikutnya (</w:t>
      </w:r>
      <w:r>
        <w:rPr>
          <w:rFonts w:ascii="Calibri" w:hAnsi="Calibri"/>
          <w:b/>
          <w:color w:val="2D3748"/>
          <w:sz w:val="22"/>
        </w:rPr>
        <w:t>AI Modul 7.9: Principal Component Analysis</w:t>
      </w:r>
      <w:r>
        <w:rPr>
          <w:rFonts w:ascii="Calibri" w:hAnsi="Calibri"/>
          <w:color w:val="2D3748"/>
          <w:sz w:val="22"/>
        </w:rPr>
        <w:t>), mahasiswa akan mempelajari bagaimana aljabar linier (nilai dan vektor eigen) mampu memadatkan puluhan fitur menjadi 2 Komponen Utama tanpa kehilangan pola variabilitas aslinya, menyempurnakan visualisasi klaster perkebunan presisi.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Daftar Pustaka dan Referensi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Lloyd, S. (1982). Least squares quantization in PCM. </w:t>
      </w:r>
      <w:r>
        <w:rPr>
          <w:rFonts w:ascii="Calibri" w:hAnsi="Calibri"/>
          <w:i/>
          <w:color w:val="2D3748"/>
          <w:sz w:val="22"/>
        </w:rPr>
        <w:t>IEEE Transactions on Information Theory</w:t>
      </w:r>
      <w:r>
        <w:rPr>
          <w:rFonts w:ascii="Calibri" w:hAnsi="Calibri"/>
          <w:color w:val="2D3748"/>
          <w:sz w:val="22"/>
        </w:rPr>
        <w:t>, 28(2), 129-137.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Arthur, D., &amp; Vassilvitskii, S. (2007). k-means++: The advantages of careful seeding. </w:t>
      </w:r>
      <w:r>
        <w:rPr>
          <w:rFonts w:ascii="Calibri" w:hAnsi="Calibri"/>
          <w:i/>
          <w:color w:val="2D3748"/>
          <w:sz w:val="22"/>
        </w:rPr>
        <w:t>Proceedings of the eighteenth annual ACM-SIAM symposium on Discrete algorithms</w:t>
      </w:r>
      <w:r>
        <w:rPr>
          <w:rFonts w:ascii="Calibri" w:hAnsi="Calibri"/>
          <w:color w:val="2D3748"/>
          <w:sz w:val="22"/>
        </w:rPr>
        <w:t>, 1027-1035.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Rousseeuw, P. J. (1987). Silhouettes: a graphical aid to the interpretation and validation of cluster analysis. </w:t>
      </w:r>
      <w:r>
        <w:rPr>
          <w:rFonts w:ascii="Calibri" w:hAnsi="Calibri"/>
          <w:i/>
          <w:color w:val="2D3748"/>
          <w:sz w:val="22"/>
        </w:rPr>
        <w:t>Journal of Computational and Applied Mathematics</w:t>
      </w:r>
      <w:r>
        <w:rPr>
          <w:rFonts w:ascii="Calibri" w:hAnsi="Calibri"/>
          <w:color w:val="2D3748"/>
          <w:sz w:val="22"/>
        </w:rPr>
        <w:t>, 20, 53-65.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Bishop, C. M. (2006). </w:t>
      </w:r>
      <w:r>
        <w:rPr>
          <w:rFonts w:ascii="Calibri" w:hAnsi="Calibri"/>
          <w:i/>
          <w:color w:val="2D3748"/>
          <w:sz w:val="22"/>
        </w:rPr>
        <w:t>Pattern Recognition and Machine Learning</w:t>
      </w:r>
      <w:r>
        <w:rPr>
          <w:rFonts w:ascii="Calibri" w:hAnsi="Calibri"/>
          <w:color w:val="2D3748"/>
          <w:sz w:val="22"/>
        </w:rPr>
        <w:t>. Springer.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Géron, A. (2022). </w:t>
      </w:r>
      <w:r>
        <w:rPr>
          <w:rFonts w:ascii="Calibri" w:hAnsi="Calibri"/>
          <w:i/>
          <w:color w:val="2D3748"/>
          <w:sz w:val="22"/>
        </w:rPr>
        <w:t>Hands-On Machine Learning with Scikit-Learn, Keras, and TensorFlow</w:t>
      </w:r>
      <w:r>
        <w:rPr>
          <w:rFonts w:ascii="Calibri" w:hAnsi="Calibri"/>
          <w:color w:val="2D3748"/>
          <w:sz w:val="22"/>
        </w:rPr>
        <w:t xml:space="preserve"> (3rd ed.). O'Reilly Media.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color w:val="2D3748"/>
          <w:sz w:val="22"/>
        </w:rPr>
        <w:t xml:space="preserve">Hastie, T., Tibshirani, R., &amp; Friedman, J. (2009). </w:t>
      </w:r>
      <w:r>
        <w:rPr>
          <w:rFonts w:ascii="Calibri" w:hAnsi="Calibri"/>
          <w:i/>
          <w:color w:val="2D3748"/>
          <w:sz w:val="22"/>
        </w:rPr>
        <w:t>The Elements of Statistical Learning: Data Mining, Inference, and Prediction</w:t>
      </w:r>
      <w:r>
        <w:rPr>
          <w:rFonts w:ascii="Calibri" w:hAnsi="Calibri"/>
          <w:color w:val="2D3748"/>
          <w:sz w:val="22"/>
        </w:rPr>
        <w:t xml:space="preserve"> (2nd ed.). Springer.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7. </w:t>
      </w:r>
      <w:r>
        <w:rPr>
          <w:rFonts w:ascii="Calibri" w:hAnsi="Calibri"/>
          <w:color w:val="2D3748"/>
          <w:sz w:val="22"/>
        </w:rPr>
        <w:t xml:space="preserve">MacQueen, J. (1967). Some methods for classification and analysis of multivariate observations. </w:t>
      </w:r>
      <w:r>
        <w:rPr>
          <w:rFonts w:ascii="Calibri" w:hAnsi="Calibri"/>
          <w:i/>
          <w:color w:val="2D3748"/>
          <w:sz w:val="22"/>
        </w:rPr>
        <w:t>Proceedings of the Fifth Berkeley Symposium on Mathematical Statistics and Probability</w:t>
      </w:r>
      <w:r>
        <w:rPr>
          <w:rFonts w:ascii="Calibri" w:hAnsi="Calibri"/>
          <w:color w:val="2D3748"/>
          <w:sz w:val="22"/>
        </w:rPr>
        <w:t>, 1(14), 281-297.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