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11.2: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AI-11-02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Pembacaan Citra, Slicing ROI, Transformasi Afina, dan Interpolasi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Geometri, 70 Menit Praktikum Terbimbing,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11.2,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 xml:space="preserve">: Mekanisme </w:t>
      </w:r>
      <w:r>
        <w:rPr>
          <w:rFonts w:ascii="Consolas" w:hAnsi="Consolas"/>
          <w:color w:val="9C1A1A"/>
          <w:sz w:val="19"/>
        </w:rPr>
        <w:t>cv2.imread()</w:t>
      </w:r>
      <w:r>
        <w:rPr>
          <w:rFonts w:ascii="Calibri" w:hAnsi="Calibri"/>
          <w:color w:val="2D3748"/>
          <w:sz w:val="22"/>
        </w:rPr>
        <w:t>, parameter flag, dan penanganan kesalahan berkas nihil (</w:t>
      </w:r>
      <w:r>
        <w:rPr>
          <w:rFonts w:ascii="Consolas" w:hAnsi="Consolas"/>
          <w:color w:val="9C1A1A"/>
          <w:sz w:val="19"/>
        </w:rPr>
        <w:t>NoneType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>: Formulasi aljabar linier transformasi afina 2D: translasi, rotasi koordinat dengan pusat sembarang, dan perbandingan metode interpolasi (</w:t>
      </w:r>
      <w:r>
        <w:rPr>
          <w:rFonts w:ascii="Consolas" w:hAnsi="Consolas"/>
          <w:color w:val="9C1A1A"/>
          <w:sz w:val="19"/>
        </w:rPr>
        <w:t>INTER_AREA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onsolas" w:hAnsi="Consolas"/>
          <w:color w:val="9C1A1A"/>
          <w:sz w:val="19"/>
        </w:rPr>
        <w:t>INTER_LINEAR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>: Praktikum laboratorium: ekstraksi ROI tandan sawit dari citra konveyor, perancangan matriks rotasi, dan implementasi teknik letterboxing proporsional.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Asesmen formatif mengenai bahaya distorsi aspek rasio pada morfometri tanaman dan pengantar Modul 11.3 (Color Conversion).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Penanganan Berkas Citra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Mengimplementasikan validasi </w:t>
            </w:r>
            <w:r>
              <w:rPr>
                <w:rFonts w:ascii="Consolas" w:hAnsi="Consolas"/>
                <w:color w:val="9C1A1A"/>
                <w:sz w:val="19"/>
              </w:rPr>
              <w:t>if img is None</w:t>
            </w:r>
            <w:r>
              <w:rPr>
                <w:rFonts w:ascii="Calibri" w:hAnsi="Calibri"/>
                <w:color w:val="2D3748"/>
                <w:sz w:val="19"/>
              </w:rPr>
              <w:t xml:space="preserve"> dan eksepsi error secara konsisten dan aman.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</w:t>
            </w:r>
            <w:r>
              <w:rPr>
                <w:rFonts w:ascii="Consolas" w:hAnsi="Consolas"/>
                <w:color w:val="9C1A1A"/>
                <w:sz w:val="19"/>
              </w:rPr>
              <w:t>imread</w:t>
            </w:r>
            <w:r>
              <w:rPr>
                <w:rFonts w:ascii="Calibri" w:hAnsi="Calibri"/>
                <w:color w:val="2D3748"/>
                <w:sz w:val="19"/>
              </w:rPr>
              <w:t xml:space="preserve"> dengan benar namun lupa menyertakan validasi berkas nihil.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Mengabaikan pemeriksaan berkas sehingga menghasilkan error </w:t>
            </w:r>
            <w:r>
              <w:rPr>
                <w:rFonts w:ascii="Consolas" w:hAnsi="Consolas"/>
                <w:color w:val="9C1A1A"/>
                <w:sz w:val="19"/>
              </w:rPr>
              <w:t>NoneType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Pemotongan ROI &amp; Manipulasi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melakukan slicing ROI dua dimensi dengan koordinat aman dan kloning </w:t>
            </w:r>
            <w:r>
              <w:rPr>
                <w:rFonts w:ascii="Consolas" w:hAnsi="Consolas"/>
                <w:color w:val="9C1A1A"/>
                <w:sz w:val="19"/>
              </w:rPr>
              <w:t>.copy()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Melakukan slicing dengan benar namun lupa menggunakan method </w:t>
            </w:r>
            <w:r>
              <w:rPr>
                <w:rFonts w:ascii="Consolas" w:hAnsi="Consolas"/>
                <w:color w:val="9C1A1A"/>
                <w:sz w:val="19"/>
              </w:rPr>
              <w:t>.copy()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Tertukar antara indeks baris (Y) dan kolom (X) dalam slicing array.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Transformasi Afina &amp; Resizing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Merumuskan matriks rotasi afina dan menerapkan teknik letterboxing proporsional tanpa distorsi.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merotasi citra namun fungsi resize langsung memampatkan citra tanpa letterbox.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Salah mendefinisikan matriks transformasi sehingga citra terpotong atau hilang.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Matriks Translasi Affine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Transformasi translasi 2D dirumuskan sebagai:</w:t>
      </w:r>
    </w:p>
    <w:p>
      <w:pPr>
        <w:spacing w:before="120" w:after="120"/>
        <w:jc w:val="center"/>
      </w:pPr>
      <m:oMath xmlns:mml="http://www.w3.org/1998/Math/MathML">
        <m:r>
          <m:t>[</m:t>
        </m:r>
        <m:eqArr>
          <m:e>
            <m:sSup>
              <m:e>
                <m:r>
                  <m:t>x</m:t>
                </m:r>
              </m:e>
              <m:sup>
                <m:r>
                  <m:t>′</m:t>
                </m:r>
              </m:sup>
            </m:sSup>
          </m:e>
          <m:e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</m:eqArr>
        <m:r>
          <m:t>]=[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0</m:t>
              </m:r>
            </m:e>
            <m:e>
              <m:sSub>
                <m:e>
                  <m:r>
                    <m:t>t</m:t>
                  </m:r>
                </m:e>
                <m:sub>
                  <m:r>
                    <m:t>x</m:t>
                  </m:r>
                </m:sub>
              </m:sSub>
            </m:e>
          </m:mr>
          <m:mr>
            <m:e>
              <m:r>
                <m:t>0</m:t>
              </m:r>
            </m:e>
            <m:e>
              <m:r>
                <m:t>1</m:t>
              </m:r>
            </m:e>
            <m:e>
              <m:sSub>
                <m:e>
                  <m:r>
                    <m:t>t</m:t>
                  </m:r>
                </m:e>
                <m:sub>
                  <m:r>
                    <m:t>y</m:t>
                  </m:r>
                </m:sub>
              </m:sSub>
            </m:e>
          </m:mr>
        </m:m>
        <m:r>
          <m:t>][</m:t>
        </m:r>
        <m:eqArr>
          <m:e>
            <m:r>
              <m:t>x</m:t>
            </m:r>
          </m:e>
          <m:e>
            <m:r>
              <m:t>y</m:t>
            </m:r>
          </m:e>
          <m:e>
            <m:r>
              <m:t>1</m:t>
            </m:r>
          </m:e>
        </m:eqArr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pergeseran </w:t>
      </w:r>
      <m:oMath xmlns:mml="http://www.w3.org/1998/Math/MathML">
        <m:sSub>
          <m:e>
            <m:r>
              <m:t>t</m:t>
            </m:r>
          </m:e>
          <m:sub>
            <m:r>
              <m:t>x</m:t>
            </m:r>
          </m:sub>
        </m:sSub>
        <m:r>
          <m:t>=+50</m:t>
        </m:r>
      </m:oMath>
      <w:r>
        <w:rPr>
          <w:rFonts w:ascii="Calibri" w:hAnsi="Calibri"/>
          <w:color w:val="2D3748"/>
          <w:sz w:val="22"/>
        </w:rPr>
        <w:t xml:space="preserve"> piksel dan </w:t>
      </w:r>
      <m:oMath xmlns:mml="http://www.w3.org/1998/Math/MathML">
        <m:sSub>
          <m:e>
            <m:r>
              <m:t>t</m:t>
            </m:r>
          </m:e>
          <m:sub>
            <m:r>
              <m:t>y</m:t>
            </m:r>
          </m:sub>
        </m:sSub>
        <m:r>
          <m:t>=−30</m:t>
        </m:r>
      </m:oMath>
      <w:r>
        <w:rPr>
          <w:rFonts w:ascii="Calibri" w:hAnsi="Calibri"/>
          <w:color w:val="2D3748"/>
          <w:sz w:val="22"/>
        </w:rPr>
        <w:t xml:space="preserve"> piksel:</w:t>
      </w:r>
    </w:p>
    <w:p>
      <w:pPr>
        <w:spacing w:before="120" w:after="120"/>
        <w:jc w:val="center"/>
      </w:pPr>
      <m:oMath xmlns:mml="http://www.w3.org/1998/Math/MathML">
        <m:r>
          <m:t>M=[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1.0</m:t>
              </m:r>
            </m:e>
            <m:e>
              <m:r>
                <m:t>0.0</m:t>
              </m:r>
            </m:e>
            <m:e>
              <m:r>
                <m:t>50.0</m:t>
              </m:r>
            </m:e>
          </m:mr>
          <m:mr>
            <m:e>
              <m:r>
                <m:t>0.0</m:t>
              </m:r>
            </m:e>
            <m:e>
              <m:r>
                <m:t>1.0</m:t>
              </m:r>
            </m:e>
            <m:e>
              <m:r>
                <m:t>−30.0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Representasi matriks dalam NumPy: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M = np.float32([[1, 0, 50], [0, 1, -30]])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Analisis Distorsi Aspek Rasio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Diketahui: Ukuran asli </w:t>
      </w:r>
      <m:oMath xmlns:mml="http://www.w3.org/1998/Math/MathML">
        <m:sSub>
          <m:e>
            <m:r>
              <m:t>W</m:t>
            </m:r>
          </m:e>
          <m:sub>
            <m:r>
              <m:rPr>
                <m:nor/>
              </m:rPr>
              <m:t>orig</m:t>
            </m:r>
          </m:sub>
        </m:sSub>
        <m:r>
          <m:t>=1200,</m:t>
        </m:r>
        <m:sSub>
          <m:e>
            <m:r>
              <m:t>H</m:t>
            </m:r>
          </m:e>
          <m:sub>
            <m:r>
              <m:rPr>
                <m:nor/>
              </m:rPr>
              <m:t>orig</m:t>
            </m:r>
          </m:sub>
        </m:sSub>
        <m:r>
          <m:t>=800</m:t>
        </m:r>
      </m:oMath>
      <w:r>
        <w:rPr>
          <w:rFonts w:ascii="Calibri" w:hAnsi="Calibri"/>
          <w:color w:val="2D3748"/>
          <w:sz w:val="22"/>
        </w:rPr>
        <w:t xml:space="preserve">. Ukuran target </w:t>
      </w:r>
      <m:oMath xmlns:mml="http://www.w3.org/1998/Math/MathML">
        <m:sSub>
          <m:e>
            <m:r>
              <m:t>W</m:t>
            </m:r>
          </m:e>
          <m:sub>
            <m:r>
              <m:rPr>
                <m:nor/>
              </m:rPr>
              <m:t>target</m:t>
            </m:r>
          </m:sub>
        </m:sSub>
        <m:r>
          <m:t>=300,</m:t>
        </m:r>
        <m:sSub>
          <m:e>
            <m:r>
              <m:t>H</m:t>
            </m:r>
          </m:e>
          <m:sub>
            <m:r>
              <m:rPr>
                <m:nor/>
              </m:rPr>
              <m:t>target</m:t>
            </m:r>
          </m:sub>
        </m:sSub>
        <m:r>
          <m:t>=300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Rasio Penskalaan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Sumbu Horizontal: </w:t>
      </w:r>
      <m:oMath xmlns:mml="http://www.w3.org/1998/Math/MathML">
        <m:sSub>
          <m:e>
            <m:r>
              <m:t>s</m:t>
            </m:r>
          </m:e>
          <m:sub>
            <m:r>
              <m:t>x</m:t>
            </m:r>
          </m:sub>
        </m:sSub>
        <m:r>
          <m:t>=</m:t>
        </m:r>
        <m:f>
          <m:fPr>
            <m:type m:val="bar"/>
          </m:fPr>
          <m:num>
            <m:r>
              <m:t>300</m:t>
            </m:r>
          </m:num>
          <m:den>
            <m:r>
              <m:t>1200</m:t>
            </m:r>
          </m:den>
        </m:f>
        <m:r>
          <m:t>=0.25</m:t>
        </m:r>
      </m:oMath>
      <w:r>
        <w:rPr>
          <w:rFonts w:ascii="Calibri" w:hAnsi="Calibri"/>
          <w:color w:val="2D3748"/>
          <w:sz w:val="22"/>
        </w:rPr>
        <w:t xml:space="preserve"> (faktor pengecilan 4 kali lipat).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Sumbu Vertikal: </w:t>
      </w:r>
      <m:oMath xmlns:mml="http://www.w3.org/1998/Math/MathML">
        <m:sSub>
          <m:e>
            <m:r>
              <m:t>s</m:t>
            </m:r>
          </m:e>
          <m:sub>
            <m:r>
              <m:t>y</m:t>
            </m:r>
          </m:sub>
        </m:sSub>
        <m:r>
          <m:t>=</m:t>
        </m:r>
        <m:f>
          <m:fPr>
            <m:type m:val="bar"/>
          </m:fPr>
          <m:num>
            <m:r>
              <m:t>300</m:t>
            </m:r>
          </m:num>
          <m:den>
            <m:r>
              <m:t>800</m:t>
            </m:r>
          </m:den>
        </m:f>
        <m:r>
          <m:t>=0.375</m:t>
        </m:r>
      </m:oMath>
      <w:r>
        <w:rPr>
          <w:rFonts w:ascii="Calibri" w:hAnsi="Calibri"/>
          <w:color w:val="2D3748"/>
          <w:sz w:val="22"/>
        </w:rPr>
        <w:t xml:space="preserve"> (faktor pengecilan 2.67 kali lipat).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Rasio Distorsi: </w:t>
      </w:r>
      <m:oMath xmlns:mml="http://www.w3.org/1998/Math/MathML"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y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0.25</m:t>
            </m:r>
          </m:num>
          <m:den>
            <m:r>
              <m:t>0.375</m:t>
            </m:r>
          </m:den>
        </m:f>
        <m:r>
          <m:t>≈0.667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Dampak terhadap Morfometri Tanaman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Pengecilan horizontal yang lebih agresif dibandingkan vertikal akan memipihkan objek secara mendatar. Tajuk pohon kelapa sawit yang awalnya berbentuk melingkar simetris (</w:t>
      </w:r>
      <m:oMath xmlns:mml="http://www.w3.org/1998/Math/MathML">
        <m:r>
          <m:t>C≈1.0</m:t>
        </m:r>
      </m:oMath>
      <w:r>
        <w:rPr>
          <w:rFonts w:ascii="Calibri" w:hAnsi="Calibri"/>
          <w:color w:val="2D3748"/>
          <w:sz w:val="22"/>
        </w:rPr>
        <w:t>) akan terdistorsi menjadi bentuk elips lonjong, sehingga nilai kebulatan (</w:t>
      </w:r>
      <w:r>
        <w:rPr>
          <w:rFonts w:ascii="Calibri" w:hAnsi="Calibri"/>
          <w:i/>
          <w:color w:val="2D3748"/>
          <w:sz w:val="22"/>
        </w:rPr>
        <w:t>circularity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C=</m:t>
        </m:r>
        <m:f>
          <m:fPr>
            <m:type m:val="bar"/>
          </m:fPr>
          <m:num>
            <m:r>
              <m:t>4πA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 akan turun secara drastis secara artifisial. Akibatnya, algoritma deteksi kanopi rusak akan salah mengklasifikasikan pohon sehat sebagai pohon cacat pelepah (</w:t>
      </w:r>
      <w:r>
        <w:rPr>
          <w:rFonts w:ascii="Calibri" w:hAnsi="Calibri"/>
          <w:i/>
          <w:color w:val="2D3748"/>
          <w:sz w:val="22"/>
        </w:rPr>
        <w:t>false positive pest damage</w:t>
      </w:r>
      <w:r>
        <w:rPr>
          <w:rFonts w:ascii="Calibri" w:hAnsi="Calibri"/>
          <w:color w:val="2D3748"/>
          <w:sz w:val="22"/>
        </w:rP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