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11.3: Panduan Instruktur dan Kunci Solusi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AI-11-03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Topik Utama</w:t>
      </w:r>
      <w:r>
        <w:rPr>
          <w:rFonts w:ascii="Calibri" w:hAnsi="Calibri"/>
          <w:color w:val="2D3748"/>
          <w:sz w:val="22"/>
        </w:rPr>
        <w:t>: Konversi Ruang Warna (BGR, Grayscale, HSV, CIELAB) &amp; Segmentasi Spektral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Teori Ruang Warna, 70 Menit Praktikum Terbimbing, 30 Menit Evaluasi)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Bahan Ajar &amp; Alat</w:t>
      </w:r>
      <w:r>
        <w:rPr>
          <w:rFonts w:ascii="Calibri" w:hAnsi="Calibri"/>
          <w:color w:val="2D3748"/>
          <w:sz w:val="22"/>
        </w:rPr>
        <w:t>: Slide Teori Warna, Diktat Modul 11.3, Jupyter Notebook Praktikum, Proyektor, Python 3.10 + OpenCV.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Garis Waktu Instruksional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00 - 25</w:t>
      </w:r>
      <w:r>
        <w:rPr>
          <w:rFonts w:ascii="Calibri" w:hAnsi="Calibri"/>
          <w:color w:val="2D3748"/>
          <w:sz w:val="22"/>
        </w:rPr>
        <w:t>: Model warna fisika vs komputasi: batasan RGB/BGR di lingkungan kebun, keunggulan pemisahan luminansi-krominansi.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25 - 50</w:t>
      </w:r>
      <w:r>
        <w:rPr>
          <w:rFonts w:ascii="Calibri" w:hAnsi="Calibri"/>
          <w:color w:val="2D3748"/>
          <w:sz w:val="22"/>
        </w:rPr>
        <w:t>: Matematika konversi BGR ke HSV, rentang Hue 8-bit OpenCV (</w:t>
      </w:r>
      <m:oMath xmlns:mml="http://www.w3.org/1998/Math/MathML">
        <m:r>
          <m:t>0−179</m:t>
        </m:r>
      </m:oMath>
      <w:r>
        <w:rPr>
          <w:rFonts w:ascii="Calibri" w:hAnsi="Calibri"/>
          <w:color w:val="2D3748"/>
          <w:sz w:val="22"/>
        </w:rPr>
        <w:t>), dan penanganan khusus warna merah melingkar.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50 - 120</w:t>
      </w:r>
      <w:r>
        <w:rPr>
          <w:rFonts w:ascii="Calibri" w:hAnsi="Calibri"/>
          <w:color w:val="2D3748"/>
          <w:sz w:val="22"/>
        </w:rPr>
        <w:t xml:space="preserve">: Praktikum komputer: konversi warna multi-ruang, segmentasi buah sawit matang dengan </w:t>
      </w:r>
      <w:r>
        <w:rPr>
          <w:rFonts w:ascii="Consolas" w:hAnsi="Consolas"/>
          <w:color w:val="9C1A1A"/>
          <w:sz w:val="19"/>
        </w:rPr>
        <w:t>inRange</w:t>
      </w:r>
      <w:r>
        <w:rPr>
          <w:rFonts w:ascii="Calibri" w:hAnsi="Calibri"/>
          <w:color w:val="2D3748"/>
          <w:sz w:val="22"/>
        </w:rPr>
        <w:t>, dan masking bitwise.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120 - 150</w:t>
      </w:r>
      <w:r>
        <w:rPr>
          <w:rFonts w:ascii="Calibri" w:hAnsi="Calibri"/>
          <w:color w:val="2D3748"/>
          <w:sz w:val="22"/>
        </w:rPr>
        <w:t>: Asesmen formatif dan diskusi pemanfaatan ruang warna CIELAB pada analisis mutu CPO di laboratorium.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Rubrik Asesmen &amp; Evaluasi Kinerja Mahasiswa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Sangat Memuaskan (85 - 100)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Cukup (70 - 84)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Perlu Perbaikan (&lt; 70)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Teori Ruang Warna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Menjelaskan perbedaan fundamental BGR, HSV, dan CIELAB serta skala Hue </w:t>
            </w:r>
            <m:oMath xmlns:mml="http://www.w3.org/1998/Math/MathML">
              <m:r>
                <m:t>0−179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secara akurat.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menjelaskan konsep HSV namun lupa menyebutkan batas atas </w:t>
            </w:r>
            <m:oMath xmlns:mml="http://www.w3.org/1998/Math/MathML">
              <m:r>
                <m:t>179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di OpenCV.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Menganggap seluruh ruang warna memiliki rentang nilai yang persis sama.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Implementasi Masking Spektral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Merumuskan batas bawah/atas HSV dan menggabungkan masker ganda untuk warna merah tanpa error.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membuat masker tunggal namun tidak mengetahui cara menangani warna merah melingkar.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Salah memasukkan urutan parameter BGR alih-alih HSV pada </w:t>
            </w:r>
            <w:r>
              <w:rPr>
                <w:rFonts w:ascii="Consolas" w:hAnsi="Consolas"/>
                <w:color w:val="9C1A1A"/>
                <w:sz w:val="19"/>
              </w:rPr>
              <w:t>cv2.inRange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Hasil Segmentasi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Menghitung rasio luas area buah matang dan mengevaluasi ketahanan terhadap variasi bayangan.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Menampilkan hasil visualisasi dengan baik namun kurang tajam dalam analisis persentase area.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Gagal mengisolasi objek target akibat penentuan ambang batas yang tidak tepat.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Soal Latihan &amp; Evaluasi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1: Sensitivitas Fotometrik Grayscale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Alasan Bobot Kanal Hijau ($0.587$) Paling Tinggi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Mata manusia memiliki tiga jenis sel fotoreseptor kerucut (</w:t>
      </w:r>
      <w:r>
        <w:rPr>
          <w:rFonts w:ascii="Calibri" w:hAnsi="Calibri"/>
          <w:i/>
          <w:color w:val="2D3748"/>
          <w:sz w:val="22"/>
        </w:rPr>
        <w:t>cones</w:t>
      </w:r>
      <w:r>
        <w:rPr>
          <w:rFonts w:ascii="Calibri" w:hAnsi="Calibri"/>
          <w:color w:val="2D3748"/>
          <w:sz w:val="22"/>
        </w:rPr>
        <w:t>): S (pendek/biru), M (menengah/hijau), dan L (panjang/merah). Kerapatan sel kerucut M dan L mendominasi retina manusia dengan puncak kurva efisiensi bercahaya fotopik (</w:t>
      </w:r>
      <w:r>
        <w:rPr>
          <w:rFonts w:ascii="Calibri" w:hAnsi="Calibri"/>
          <w:i/>
          <w:color w:val="2D3748"/>
          <w:sz w:val="22"/>
        </w:rPr>
        <w:t>luminous efficiency function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V(λ)</m:t>
        </m:r>
      </m:oMath>
      <w:r>
        <w:rPr>
          <w:rFonts w:ascii="Calibri" w:hAnsi="Calibri"/>
          <w:color w:val="2D3748"/>
          <w:sz w:val="22"/>
        </w:rPr>
        <w:t xml:space="preserve">) berada pada panjang gelombang sekitar </w:t>
      </w:r>
      <m:oMath xmlns:mml="http://www.w3.org/1998/Math/MathML">
        <m:r>
          <m:t>555</m:t>
        </m:r>
        <m:r>
          <m:rPr>
            <m:nor/>
          </m:rPr>
          <m:t> nm</m:t>
        </m:r>
      </m:oMath>
      <w:r>
        <w:rPr>
          <w:rFonts w:ascii="Calibri" w:hAnsi="Calibri"/>
          <w:color w:val="2D3748"/>
          <w:sz w:val="22"/>
        </w:rPr>
        <w:t xml:space="preserve"> (wilayah spektrum hijau-kekuningan). Oleh karena itu, standar fotometri internasional ITU-R BT.601 memberikan bobot tertinggi pada kanal hijau (</w:t>
      </w:r>
      <m:oMath xmlns:mml="http://www.w3.org/1998/Math/MathML">
        <m:r>
          <m:t>58.7%</m:t>
        </m:r>
      </m:oMath>
      <w:r>
        <w:rPr>
          <w:rFonts w:ascii="Calibri" w:hAnsi="Calibri"/>
          <w:color w:val="2D3748"/>
          <w:sz w:val="22"/>
        </w:rPr>
        <w:t>) agar citra grayscale tampak memiliki tingkat kecerahan yang paling sesuai dengan persepsi visual manusia.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Implikasi terhadap Deteksi Klorosis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Daun sawit yang mengalami klorosis (menguning) mengalami penurunan klorofil drastis dan peningkatan pantulan spektrum merah-kuning. Pada citra grayscale, karena bobot merah (</w:t>
      </w:r>
      <m:oMath xmlns:mml="http://www.w3.org/1998/Math/MathML">
        <m:r>
          <m:t>0.299</m:t>
        </m:r>
      </m:oMath>
      <w:r>
        <w:rPr>
          <w:rFonts w:ascii="Calibri" w:hAnsi="Calibri"/>
          <w:color w:val="2D3748"/>
          <w:sz w:val="22"/>
        </w:rPr>
        <w:t>) dan hijau (</w:t>
      </w:r>
      <m:oMath xmlns:mml="http://www.w3.org/1998/Math/MathML">
        <m:r>
          <m:t>0.587</m:t>
        </m:r>
      </m:oMath>
      <w:r>
        <w:rPr>
          <w:rFonts w:ascii="Calibri" w:hAnsi="Calibri"/>
          <w:color w:val="2D3748"/>
          <w:sz w:val="22"/>
        </w:rPr>
        <w:t>) keduanya relatif tinggi, daun kuning pucat akan tampak sangat terang (</w:t>
      </w:r>
      <w:r>
        <w:rPr>
          <w:rFonts w:ascii="Calibri" w:hAnsi="Calibri"/>
          <w:i/>
          <w:color w:val="2D3748"/>
          <w:sz w:val="22"/>
        </w:rPr>
        <w:t>high intensity gray</w:t>
      </w:r>
      <w:r>
        <w:rPr>
          <w:rFonts w:ascii="Calibri" w:hAnsi="Calibri"/>
          <w:color w:val="2D3748"/>
          <w:sz w:val="22"/>
        </w:rPr>
        <w:t>), sedangkan daun sehat hijau pekat memiliki intensitas yang berbeda, sehingga memudahkan penentuan ambang batas pemisahan penyakit.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2: Evaluasi Ruang Warna BGR vs HSV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pukul 07.00 pagi (cahaya redup), fluks foton matahari yang mencapai kanopi kelapa sawit sangat rendah, sehingga nilai ketiga kanal BGR jatuh ke nilai rendah (misalnya </w:t>
      </w:r>
      <m:oMath xmlns:mml="http://www.w3.org/1998/Math/MathML">
        <m:r>
          <m:t>R=20,G=70,B=15</m:t>
        </m:r>
      </m:oMath>
      <w:r>
        <w:rPr>
          <w:rFonts w:ascii="Calibri" w:hAnsi="Calibri"/>
          <w:color w:val="2D3748"/>
          <w:sz w:val="22"/>
        </w:rPr>
        <w:t xml:space="preserve">). Pada pukul 12.00 siang (cahaya terik), nilai ketiga kanal melonjak tinggi (misalnya </w:t>
      </w:r>
      <m:oMath xmlns:mml="http://www.w3.org/1998/Math/MathML">
        <m:r>
          <m:t>R=70,G=220,B=50</m:t>
        </m:r>
      </m:oMath>
      <w:r>
        <w:rPr>
          <w:rFonts w:ascii="Calibri" w:hAnsi="Calibri"/>
          <w:color w:val="2D3748"/>
          <w:sz w:val="22"/>
        </w:rPr>
        <w:t xml:space="preserve">). Jika digunakan ambang batas statis pada BGR (misalnya </w:t>
      </w:r>
      <m:oMath xmlns:mml="http://www.w3.org/1998/Math/MathML">
        <m:r>
          <m:t>G∈[150,255]</m:t>
        </m:r>
      </m:oMath>
      <w:r>
        <w:rPr>
          <w:rFonts w:ascii="Calibri" w:hAnsi="Calibri"/>
          <w:color w:val="2D3748"/>
          <w:sz w:val="22"/>
        </w:rPr>
        <w:t>), maka pada pukul 07.00 pagi daun sawit akan gagal terdeteksi (</w:t>
      </w:r>
      <w:r>
        <w:rPr>
          <w:rFonts w:ascii="Calibri" w:hAnsi="Calibri"/>
          <w:i/>
          <w:color w:val="2D3748"/>
          <w:sz w:val="22"/>
        </w:rPr>
        <w:t>false negative</w:t>
      </w:r>
      <w:r>
        <w:rPr>
          <w:rFonts w:ascii="Calibri" w:hAnsi="Calibri"/>
          <w:color w:val="2D3748"/>
          <w:sz w:val="22"/>
        </w:rPr>
        <w:t xml:space="preserve">) karena nilai </w:t>
      </w:r>
      <m:oMath xmlns:mml="http://www.w3.org/1998/Math/MathML">
        <m:r>
          <m:t>G=70</m:t>
        </m:r>
      </m:oMath>
      <w:r>
        <w:rPr>
          <w:rFonts w:ascii="Calibri" w:hAnsi="Calibri"/>
          <w:color w:val="2D3748"/>
          <w:sz w:val="22"/>
        </w:rPr>
        <w:t xml:space="preserve"> berada di bawah ambang batas.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Sebaliknya, pada ruang warna HSV: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Pukul 07.00: Rasio antar kanal menghasilkan </w:t>
      </w:r>
      <m:oMath xmlns:mml="http://www.w3.org/1998/Math/MathML">
        <m:r>
          <m:t>H≈65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S≈200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V≈70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Pukul 12.00: Rasio antar kanal menghasilkan </w:t>
      </w:r>
      <m:oMath xmlns:mml="http://www.w3.org/1998/Math/MathML">
        <m:r>
          <m:t>H≈65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S≈200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V≈220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Meskipun intensitas </w:t>
      </w:r>
      <m:oMath xmlns:mml="http://www.w3.org/1998/Math/MathML">
        <m:r>
          <m:t>V</m:t>
        </m:r>
      </m:oMath>
      <w:r>
        <w:rPr>
          <w:rFonts w:ascii="Calibri" w:hAnsi="Calibri"/>
          <w:color w:val="2D3748"/>
          <w:sz w:val="22"/>
        </w:rPr>
        <w:t xml:space="preserve"> melonjak tiga kali lipat, nilai corak warna </w:t>
      </w:r>
      <m:oMath xmlns:mml="http://www.w3.org/1998/Math/MathML">
        <m:r>
          <m:t>H</m:t>
        </m:r>
      </m:oMath>
      <w:r>
        <w:rPr>
          <w:rFonts w:ascii="Calibri" w:hAnsi="Calibri"/>
          <w:color w:val="2D3748"/>
          <w:sz w:val="22"/>
        </w:rPr>
        <w:t xml:space="preserve"> tetap konstan pada nilai </w:t>
      </w:r>
      <m:oMath xmlns:mml="http://www.w3.org/1998/Math/MathML">
        <m:r>
          <m:t>65</m:t>
        </m:r>
      </m:oMath>
      <w:r>
        <w:rPr>
          <w:rFonts w:ascii="Calibri" w:hAnsi="Calibri"/>
          <w:color w:val="2D3748"/>
          <w:sz w:val="22"/>
        </w:rPr>
        <w:t xml:space="preserve"> (spektrum hijau sejati). Dengan menyetel ambang batas pada </w:t>
      </w:r>
      <m:oMath xmlns:mml="http://www.w3.org/1998/Math/MathML">
        <m:r>
          <m:t>H∈[40,85]</m:t>
        </m:r>
      </m:oMath>
      <w:r>
        <w:rPr>
          <w:rFonts w:ascii="Calibri" w:hAnsi="Calibri"/>
          <w:color w:val="2D3748"/>
          <w:sz w:val="22"/>
        </w:rPr>
        <w:t>, algoritma OpenCV mampu mendeteksi kanopi daun sawit secara konsisten tanpa terpengaruh oleh pergantian waktu dan intensitas sinar matahari.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