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Panduan Instruktur &amp; Kunci Solusi: AI Modul 12.5 - Image Classification dengan CNN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Pembelajaran &amp; Alokasi Waktu (150 Menit)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00 - 30</w:t>
      </w:r>
      <w:r>
        <w:rPr>
          <w:rFonts w:ascii="Calibri" w:hAnsi="Calibri"/>
          <w:color w:val="2D3748"/>
          <w:sz w:val="22"/>
        </w:rPr>
        <w:t>: Tinjauan pipeline end-to-end klasifikasi citra, fungsi loss Cross-Entropy, dan regularisasi Label Smoothing.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30 - 60</w:t>
      </w:r>
      <w:r>
        <w:rPr>
          <w:rFonts w:ascii="Calibri" w:hAnsi="Calibri"/>
          <w:color w:val="2D3748"/>
          <w:sz w:val="22"/>
        </w:rPr>
        <w:t>: Penjelasan matematis Grad-CAM untuk memverifikasi atensi spasial model.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60 - 100</w:t>
      </w:r>
      <w:r>
        <w:rPr>
          <w:rFonts w:ascii="Calibri" w:hAnsi="Calibri"/>
          <w:color w:val="2D3748"/>
          <w:sz w:val="22"/>
        </w:rPr>
        <w:t xml:space="preserve">: Praktikum komputer: Perakitan mesin pelatih </w:t>
      </w:r>
      <w:r>
        <w:rPr>
          <w:rFonts w:ascii="Consolas" w:hAnsi="Consolas"/>
          <w:color w:val="9C1A1A"/>
          <w:sz w:val="19"/>
        </w:rPr>
        <w:t>IndustrialCNNTrainer</w:t>
      </w:r>
      <w:r>
        <w:rPr>
          <w:rFonts w:ascii="Calibri" w:hAnsi="Calibri"/>
          <w:color w:val="2D3748"/>
          <w:sz w:val="22"/>
        </w:rPr>
        <w:t>, implementasi gradient clipping, checkpointing model terbaik.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100 - 130</w:t>
      </w:r>
      <w:r>
        <w:rPr>
          <w:rFonts w:ascii="Calibri" w:hAnsi="Calibri"/>
          <w:color w:val="2D3748"/>
          <w:sz w:val="22"/>
        </w:rPr>
        <w:t>: Studi kasus sortasi TBS kelapa sawit di pabrik kelapa sawit dan analisis Confusion Matrix.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130 - 150</w:t>
      </w:r>
      <w:r>
        <w:rPr>
          <w:rFonts w:ascii="Calibri" w:hAnsi="Calibri"/>
          <w:color w:val="2D3748"/>
          <w:sz w:val="22"/>
        </w:rPr>
        <w:t>: Pembahasan potensi kendala teknis shortcut learning dan kuis formatif.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Kunci Jawaban Soal Evaluasi &amp; Mandiri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Soal Mandiri 1 (Penurunan Gradien Cross-Entropy terhadap Logits)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Misalkan </w:t>
      </w:r>
      <m:oMath xmlns:mml="http://www.w3.org/1998/Math/MathML">
        <m:r>
          <m:t>z</m:t>
        </m:r>
      </m:oMath>
      <w:r>
        <w:rPr>
          <w:rFonts w:ascii="Calibri" w:hAnsi="Calibri"/>
          <w:color w:val="2D3748"/>
          <w:sz w:val="22"/>
        </w:rPr>
        <w:t xml:space="preserve"> adalah logits dan </w:t>
      </w:r>
      <m:oMath xmlns:mml="http://www.w3.org/1998/Math/MathML"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sSub>
                  <m:e>
                    <m:r>
                      <m:t>z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num>
          <m:den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m:t>j</m:t>
                </m:r>
              </m:sub>
              <m:sup/>
              <m:e/>
            </m:nary>
            <m:sSup>
              <m:e>
                <m:r>
                  <m:t>e</m:t>
                </m:r>
              </m:e>
              <m:sup>
                <m:sSub>
                  <m:e>
                    <m:r>
                      <m:t>z</m:t>
                    </m:r>
                  </m:e>
                  <m:sub>
                    <m:r>
                      <m:t>j</m:t>
                    </m:r>
                  </m:sub>
                </m:sSub>
              </m:sup>
            </m:sSup>
          </m:den>
        </m:f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Loss: </w:t>
      </w:r>
      <m:oMath xmlns:mml="http://www.w3.org/1998/Math/MathML">
        <m:r>
          <m:t>ℒ=−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k</m:t>
            </m:r>
          </m:sub>
          <m:sup/>
          <m:e/>
        </m:nary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k</m:t>
            </m:r>
          </m:sub>
        </m:sSub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Turunan Softmax: </w:t>
      </w:r>
      <m:oMath xmlns:mml="http://www.w3.org/1998/Math/MathML">
        <m:f>
          <m:fPr>
            <m:type m:val="bar"/>
          </m:fPr>
          <m:num>
            <m:r>
              <m:t>∂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k</m:t>
                </m:r>
              </m:sub>
            </m:sSub>
          </m:num>
          <m:den>
            <m:r>
              <m:t>∂</m:t>
            </m:r>
            <m:sSub>
              <m:e>
                <m:r>
                  <m:t>z</m:t>
                </m:r>
              </m:e>
              <m:sub>
                <m:r>
                  <m:t>i</m:t>
                </m:r>
              </m:sub>
            </m:sSub>
          </m:den>
        </m:f>
        <m: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t>(𝕀(i=k)−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k</m:t>
            </m:r>
          </m:sub>
        </m:sSub>
        <m:r>
          <m:t>)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Turunan Chain Rule:</w:t>
      </w:r>
    </w:p>
    <w:p>
      <w:pPr>
        <w:spacing w:before="120" w:after="120"/>
        <w:jc w:val="center"/>
      </w:pPr>
      <m:oMath xmlns:mml="http://www.w3.org/1998/Math/MathML">
        <m:f>
          <m:fPr>
            <m:type m:val="bar"/>
          </m:fPr>
          <m:num>
            <m:r>
              <m:t>∂ℒ</m:t>
            </m:r>
          </m:num>
          <m:den>
            <m:r>
              <m:t>∂</m:t>
            </m:r>
            <m:sSub>
              <m:e>
                <m:r>
                  <m:t>z</m:t>
                </m:r>
              </m:e>
              <m:sub>
                <m:r>
                  <m:t>i</m:t>
                </m:r>
              </m:sub>
            </m:sSub>
          </m:den>
        </m:f>
        <m:r>
          <m:t>=−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k</m:t>
            </m:r>
          </m:sub>
          <m:sup/>
          <m:e/>
        </m:nary>
        <m:f>
          <m:fPr>
            <m:type m:val="bar"/>
          </m:fPr>
          <m:num>
            <m:sSub>
              <m:e>
                <m:r>
                  <m:t>q</m:t>
                </m:r>
              </m:e>
              <m:sub>
                <m:r>
                  <m:t>k</m:t>
                </m:r>
              </m:sub>
            </m:sSub>
          </m:num>
          <m:den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k</m:t>
                </m:r>
              </m:sub>
            </m:sSub>
          </m:den>
        </m:f>
        <m:f>
          <m:fPr>
            <m:type m:val="bar"/>
          </m:fPr>
          <m:num>
            <m:r>
              <m:t>∂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k</m:t>
                </m:r>
              </m:sub>
            </m:sSub>
          </m:num>
          <m:den>
            <m:r>
              <m:t>∂</m:t>
            </m:r>
            <m:sSub>
              <m:e>
                <m:r>
                  <m:t>z</m:t>
                </m:r>
              </m:e>
              <m:sub>
                <m:r>
                  <m:t>i</m:t>
                </m:r>
              </m:sub>
            </m:sSub>
          </m:den>
        </m:f>
        <m:r>
          <m:t>=−</m:t>
        </m:r>
        <m:f>
          <m:fPr>
            <m:type m:val="bar"/>
          </m:fPr>
          <m:num>
            <m:sSub>
              <m:e>
                <m:r>
                  <m:t>q</m:t>
                </m:r>
              </m:e>
              <m:sub>
                <m:r>
                  <m:t>i</m:t>
                </m:r>
              </m:sub>
            </m:sSub>
          </m:num>
          <m:den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den>
        </m:f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t>(1−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t>)−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k≠i</m:t>
            </m:r>
          </m:sub>
          <m:sup/>
          <m:e/>
        </m:nary>
        <m:f>
          <m:fPr>
            <m:type m:val="bar"/>
          </m:fPr>
          <m:num>
            <m:sSub>
              <m:e>
                <m:r>
                  <m:t>q</m:t>
                </m:r>
              </m:e>
              <m:sub>
                <m:r>
                  <m:t>k</m:t>
                </m:r>
              </m:sub>
            </m:sSub>
          </m:num>
          <m:den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k</m:t>
                </m:r>
              </m:sub>
            </m:sSub>
          </m:den>
        </m:f>
        <m:r>
          <m:t>(−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k</m:t>
            </m:r>
          </m:sub>
        </m:sSub>
        <m:r>
          <m:t>)</m:t>
        </m:r>
      </m:oMath>
    </w:p>
    <w:p>
      <w:pPr>
        <w:spacing w:before="120" w:after="120"/>
        <w:jc w:val="center"/>
      </w:pPr>
      <m:oMath xmlns:mml="http://www.w3.org/1998/Math/MathML">
        <m:f>
          <m:fPr>
            <m:type m:val="bar"/>
          </m:fPr>
          <m:num>
            <m:r>
              <m:t>∂ℒ</m:t>
            </m:r>
          </m:num>
          <m:den>
            <m:r>
              <m:t>∂</m:t>
            </m:r>
            <m:sSub>
              <m:e>
                <m:r>
                  <m:t>z</m:t>
                </m:r>
              </m:e>
              <m:sub>
                <m:r>
                  <m:t>i</m:t>
                </m:r>
              </m:sub>
            </m:sSub>
          </m:den>
        </m:f>
        <m:r>
          <m:t>=−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t>(1−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t>)+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k≠i</m:t>
            </m:r>
          </m:sub>
          <m:sup/>
          <m:e/>
        </m:nary>
        <m:sSub>
          <m:e>
            <m:r>
              <m:t>q</m:t>
            </m:r>
          </m:e>
          <m:sub>
            <m:r>
              <m:t>k</m:t>
            </m:r>
          </m:sub>
        </m:sSub>
        <m:r>
          <m:t>=−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t>+</m:t>
        </m:r>
        <m:sSub>
          <m:e>
            <m:r>
              <m:t>q</m:t>
            </m:r>
          </m:e>
          <m:sub>
            <m:r>
              <m:t>i</m:t>
            </m:r>
          </m:sub>
        </m:sSub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t>+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t>(1−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t>)=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t>−</m:t>
        </m:r>
        <m:sSub>
          <m:e>
            <m:r>
              <m:t>q</m:t>
            </m:r>
          </m:e>
          <m:sub>
            <m:r>
              <m:t>i</m:t>
            </m:r>
          </m:sub>
        </m:sSub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Terbukti bahwa gradien adalah selisih langsung probabilitas prediksi terhadap target (</w:t>
      </w:r>
      <m:oMath xmlns:mml="http://www.w3.org/1998/Math/MathML"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t>−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Soal Mandiri 2 (Focal Loss PyTorch)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torch</w:t>
              <w:br/>
              <w:t>import torch.nn as nn</w:t>
              <w:br/>
              <w:t>import torch.nn.functional as F</w:t>
              <w:br/>
              <w:br/>
              <w:t>class FocalLoss(nn.Module):</w:t>
              <w:br/>
              <w:t xml:space="preserve">    def __init__(self, alpha=None, gamma=2.0, reduction='mean'):</w:t>
              <w:br/>
              <w:t xml:space="preserve">        super().__init__()</w:t>
              <w:br/>
              <w:t xml:space="preserve">        self.alpha = alpha # Tensor bobot kelas</w:t>
              <w:br/>
              <w:t xml:space="preserve">        self.gamma = gamma</w:t>
              <w:br/>
              <w:t xml:space="preserve">        self.reduction = reduction</w:t>
              <w:br/>
              <w:t xml:space="preserve">        </w:t>
              <w:br/>
              <w:t xml:space="preserve">    def forward(self, inputs, targets):</w:t>
              <w:br/>
              <w:t xml:space="preserve">        ce_loss = F.cross_entropy(inputs, targets, reduction='none', weight=self.alpha)</w:t>
              <w:br/>
              <w:t xml:space="preserve">        pt = torch.exp(-ce_loss) # Probabilitas kelas target</w:t>
              <w:br/>
              <w:t xml:space="preserve">        focal_loss = ((1.0 - pt) ** self.gamma) * ce_loss</w:t>
              <w:br/>
              <w:t xml:space="preserve">        </w:t>
              <w:br/>
              <w:t xml:space="preserve">        if self.reduction == 'mean':</w:t>
              <w:br/>
              <w:t xml:space="preserve">            return focal_loss.mean()</w:t>
              <w:br/>
              <w:t xml:space="preserve">        elif self.reduction == 'sum':</w:t>
              <w:br/>
              <w:t xml:space="preserve">            return focal_loss.sum()</w:t>
              <w:br/>
              <w:t xml:space="preserve">        return focal_loss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Rubrik Penilaian Praktikum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Kelengkapan Pipeline Pelatihan (30%)</w:t>
      </w:r>
      <w:r>
        <w:rPr>
          <w:rFonts w:ascii="Calibri" w:hAnsi="Calibri"/>
          <w:color w:val="2D3748"/>
          <w:sz w:val="22"/>
        </w:rPr>
        <w:t>: Implementasi loop pelatihan, evaluasi berkala, dan checkpointing model.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Metrik Evaluasi &amp; Visualisasi (30%)</w:t>
      </w:r>
      <w:r>
        <w:rPr>
          <w:rFonts w:ascii="Calibri" w:hAnsi="Calibri"/>
          <w:color w:val="2D3748"/>
          <w:sz w:val="22"/>
        </w:rPr>
        <w:t>: Perhitungan akurat Confusion Matrix dan interpretasi Precision/Recall multi-kelas.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Performa Model (25%)</w:t>
      </w:r>
      <w:r>
        <w:rPr>
          <w:rFonts w:ascii="Calibri" w:hAnsi="Calibri"/>
          <w:color w:val="2D3748"/>
          <w:sz w:val="22"/>
        </w:rPr>
        <w:t xml:space="preserve">: Model mencapai konvergensi stabil dan akurasi validasi </w:t>
      </w:r>
      <m:oMath xmlns:mml="http://www.w3.org/1998/Math/MathML">
        <m:r>
          <m:t>≥90%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Kualitas Kode &amp; Standar Rekayasa (15%)</w:t>
      </w:r>
      <w:r>
        <w:rPr>
          <w:rFonts w:ascii="Calibri" w:hAnsi="Calibri"/>
          <w:color w:val="2D3748"/>
          <w:sz w:val="22"/>
        </w:rPr>
        <w:t>: Kode modular berstandar industri dengan penanganan perangkat (CPU/GPU) yang tepat.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