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12.7 - YOLO (You Only Look Once)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00 - 35</w:t>
      </w:r>
      <w:r>
        <w:rPr>
          <w:rFonts w:ascii="Calibri" w:hAnsi="Calibri"/>
          <w:color w:val="2D3748"/>
          <w:sz w:val="22"/>
        </w:rPr>
        <w:t xml:space="preserve">: Filosofi Single-Stage Detector vs Two-Stage, konsep pembagian kisi </w:t>
      </w:r>
      <m:oMath xmlns:mml="http://www.w3.org/1998/Math/MathML">
        <m:r>
          <m:t>S×S</m:t>
        </m:r>
      </m:oMath>
      <w:r>
        <w:rPr>
          <w:rFonts w:ascii="Calibri" w:hAnsi="Calibri"/>
          <w:color w:val="2D3748"/>
          <w:sz w:val="22"/>
        </w:rPr>
        <w:t>, dan peran anchor boxes.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35 - 65</w:t>
      </w:r>
      <w:r>
        <w:rPr>
          <w:rFonts w:ascii="Calibri" w:hAnsi="Calibri"/>
          <w:color w:val="2D3748"/>
          <w:sz w:val="22"/>
        </w:rPr>
        <w:t>: Penurunan matematis fungsi transformasi non-linear koordinat kotak dan komponen kerugian CIoU.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 xml:space="preserve">: Praktikum komputer: Perakitan modul </w:t>
      </w:r>
      <w:r>
        <w:rPr>
          <w:rFonts w:ascii="Consolas" w:hAnsi="Consolas"/>
          <w:color w:val="9C1A1A"/>
          <w:sz w:val="19"/>
        </w:rPr>
        <w:t>MiniYOLOHead</w:t>
      </w:r>
      <w:r>
        <w:rPr>
          <w:rFonts w:ascii="Calibri" w:hAnsi="Calibri"/>
          <w:color w:val="2D3748"/>
          <w:sz w:val="22"/>
        </w:rPr>
        <w:t xml:space="preserve"> di PyTorch, penguraian tensor prediksi, dan visualisasi kotak pada grid.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sensus buah kelapa sawit via kamera drone berkecepatan 30 km/jam.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kendala numerik fungsi eksponensial dan strategi eliminasi redundansi NMS di GPU.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(Keunggulan CIoU vs MSE Loss)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MSE memperlakukan keempat koordinat (</w:t>
      </w:r>
      <m:oMath xmlns:mml="http://www.w3.org/1998/Math/MathML">
        <m:r>
          <m:t>x,y,w,h</m:t>
        </m:r>
      </m:oMath>
      <w:r>
        <w:rPr>
          <w:rFonts w:ascii="Calibri" w:hAnsi="Calibri"/>
          <w:color w:val="2D3748"/>
          <w:sz w:val="22"/>
        </w:rPr>
        <w:t>) sebagai variabel independen, padahal dimensi kotak memiliki relasi geometris ketat (misal: rasio aspek).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MSE sangat sensitif terhadap skala absolut: kotak besar mendominasi gradien dibanding kotak kecil dengan error proporsional identik.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Sebaliknya, </w:t>
      </w:r>
      <w:r>
        <w:rPr>
          <w:rFonts w:ascii="Calibri" w:hAnsi="Calibri"/>
          <w:b/>
          <w:color w:val="2D3748"/>
          <w:sz w:val="22"/>
        </w:rPr>
        <w:t>Complete IoU (CIoU)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Bersifat invarian terhadap skala objek (</w:t>
      </w:r>
      <w:r>
        <w:rPr>
          <w:rFonts w:ascii="Calibri" w:hAnsi="Calibri"/>
          <w:i/>
          <w:color w:val="2D3748"/>
          <w:sz w:val="22"/>
        </w:rPr>
        <w:t>scale invariant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Memberikan gradien halus bahkan saat kotak tidak beririsan (melalui penalti jarak Euclidean titik pusat).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Mempertahankan konsistensi rasio aspek (</w:t>
      </w:r>
      <m:oMath xmlns:mml="http://www.w3.org/1998/Math/MathML">
        <m:r>
          <m:t>v</m:t>
        </m:r>
      </m:oMath>
      <w:r>
        <w:rPr>
          <w:rFonts w:ascii="Calibri" w:hAnsi="Calibri"/>
          <w:color w:val="2D3748"/>
          <w:sz w:val="22"/>
        </w:rPr>
        <w:t>) secara simultan.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(Implementasi Distance-IoU / DIoU Loss)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br/>
              <w:t>def diou_loss(pred_boxes, gt_boxes):</w:t>
              <w:br/>
              <w:t xml:space="preserve">    '''</w:t>
              <w:br/>
              <w:t xml:space="preserve">    pred_boxes, gt_boxes: Tensor (N, 4) format [x1, y1, x2, y2]</w:t>
              <w:br/>
              <w:t xml:space="preserve">    '''</w:t>
              <w:br/>
              <w:t xml:space="preserve">    # 1. Hitung Intersection over Union</w:t>
              <w:br/>
              <w:t xml:space="preserve">    x1 = torch.max(pred_boxes[:, 0], gt_boxes[:, 0])</w:t>
              <w:br/>
              <w:t xml:space="preserve">    y1 = torch.max(pred_boxes[:, 1], gt_boxes[:, 1])</w:t>
              <w:br/>
              <w:t xml:space="preserve">    x2 = torch.min(pred_boxes[:, 2], gt_boxes[:, 2])</w:t>
              <w:br/>
              <w:t xml:space="preserve">    y2 = torch.min(pred_boxes[:, 3], gt_boxes[:, 3])</w:t>
              <w:br/>
              <w:t xml:space="preserve">    </w:t>
              <w:br/>
              <w:t xml:space="preserve">    inter = torch.clamp(x2 - x1, min=0) * torch.clamp(y2 - y1, min=0)</w:t>
              <w:br/>
              <w:t xml:space="preserve">    area_pred = (pred_boxes[:, 2] - pred_boxes[:, 0]) * (pred_boxes[:, 3] - pred_boxes[:, 1])</w:t>
              <w:br/>
              <w:t xml:space="preserve">    area_gt = (gt_boxes[:, 2] - gt_boxes[:, 0]) * (gt_boxes[:, 3] - gt_boxes[:, 1])</w:t>
              <w:br/>
              <w:t xml:space="preserve">    union = area_pred + area_gt - inter</w:t>
              <w:br/>
              <w:t xml:space="preserve">    iou = inter / (union + 1e-7)</w:t>
              <w:br/>
              <w:t xml:space="preserve">    </w:t>
              <w:br/>
              <w:t xml:space="preserve">    # 2. Titik pusat kotak</w:t>
              <w:br/>
              <w:t xml:space="preserve">    pred_cx = (pred_boxes[:, 0] + pred_boxes[:, 2]) / 2.0</w:t>
              <w:br/>
              <w:t xml:space="preserve">    pred_cy = (pred_boxes[:, 1] + pred_boxes[:, 3]) / 2.0</w:t>
              <w:br/>
              <w:t xml:space="preserve">    gt_cx = (gt_boxes[:, 0] + gt_boxes[:, 2]) / 2.0</w:t>
              <w:br/>
              <w:t xml:space="preserve">    gt_cy = (gt_boxes[:, 1] + gt_boxes[:, 3]) / 2.0</w:t>
              <w:br/>
              <w:t xml:space="preserve">    </w:t>
              <w:br/>
              <w:t xml:space="preserve">    # Jarak Euclidean titik pusat (rho^2)</w:t>
              <w:br/>
              <w:t xml:space="preserve">    rho_sq = (pred_cx - gt_cx)**2 + (pred_cy - gt_cy)**2</w:t>
              <w:br/>
              <w:t xml:space="preserve">    </w:t>
              <w:br/>
              <w:t xml:space="preserve">    # 3. Kotak penutup terkecil C</w:t>
              <w:br/>
              <w:t xml:space="preserve">    c_x1 = torch.min(pred_boxes[:, 0], gt_boxes[:, 0])</w:t>
              <w:br/>
              <w:t xml:space="preserve">    c_y1 = torch.min(pred_boxes[:, 1], gt_boxes[:, 1])</w:t>
              <w:br/>
              <w:t xml:space="preserve">    c_x2 = torch.max(pred_boxes[:, 2], gt_boxes[:, 2])</w:t>
              <w:br/>
              <w:t xml:space="preserve">    c_y2 = torch.max(pred_boxes[:, 3], gt_boxes[:, 3])</w:t>
              <w:br/>
              <w:t xml:space="preserve">    c_diag_sq = (c_x2 - c_x1)**2 + (c_y2 - c_y1)**2 + 1e-7</w:t>
              <w:br/>
              <w:t xml:space="preserve">    </w:t>
              <w:br/>
              <w:t xml:space="preserve">    # DIoU = IoU - (rho^2 / c^2)</w:t>
              <w:br/>
              <w:t xml:space="preserve">    diou = iou - (rho_sq / c_diag_sq)</w:t>
              <w:br/>
              <w:t xml:space="preserve">    return (1.0 - diou).mean()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Perakitan Lapisan YOLO Head (30%)</w:t>
      </w:r>
      <w:r>
        <w:rPr>
          <w:rFonts w:ascii="Calibri" w:hAnsi="Calibri"/>
          <w:color w:val="2D3748"/>
          <w:sz w:val="22"/>
        </w:rPr>
        <w:t>: Ketepatan manipulasi bentuk tensor (</w:t>
      </w:r>
      <w:r>
        <w:rPr>
          <w:rFonts w:ascii="Calibri" w:hAnsi="Calibri"/>
          <w:i/>
          <w:color w:val="2D3748"/>
          <w:sz w:val="22"/>
        </w:rPr>
        <w:t>view, permute</w:t>
      </w:r>
      <w:r>
        <w:rPr>
          <w:rFonts w:ascii="Calibri" w:hAnsi="Calibri"/>
          <w:color w:val="2D3748"/>
          <w:sz w:val="22"/>
        </w:rPr>
        <w:t>) berdimensi tinggi di PyTorch.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Logika Dekoding Bounding Box (35%)</w:t>
      </w:r>
      <w:r>
        <w:rPr>
          <w:rFonts w:ascii="Calibri" w:hAnsi="Calibri"/>
          <w:color w:val="2D3748"/>
          <w:sz w:val="22"/>
        </w:rPr>
        <w:t>: Implementasi matematis sigmoid dan eksponensial offset terverifikasi benar.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Visualisasi &amp; Interpretasi (20%)</w:t>
      </w:r>
      <w:r>
        <w:rPr>
          <w:rFonts w:ascii="Calibri" w:hAnsi="Calibri"/>
          <w:color w:val="2D3748"/>
          <w:sz w:val="22"/>
        </w:rPr>
        <w:t>: Menampilkan proyeksi spasial bounding box pada grid koordinat citra dengan tepat.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Kode &amp; Standar Rekayasa (15%)</w:t>
      </w:r>
      <w:r>
        <w:rPr>
          <w:rFonts w:ascii="Calibri" w:hAnsi="Calibri"/>
          <w:color w:val="2D3748"/>
          <w:sz w:val="22"/>
        </w:rPr>
        <w:t>: Kode bebas galat, efisien secara komputasi, dan terdokumentasi dengan baik.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