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12.8 - Single Shot Detector (SSD)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Pembelajaran &amp; Alokasi Waktu (150 Menit)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00 - 35</w:t>
      </w:r>
      <w:r>
        <w:rPr>
          <w:rFonts w:ascii="Calibri" w:hAnsi="Calibri"/>
          <w:color w:val="2D3748"/>
          <w:sz w:val="22"/>
        </w:rPr>
        <w:t>: Konsep dasar Multi-Scale Feature Maps dan perancangan kotak acuan default (</w:t>
      </w:r>
      <w:r>
        <w:rPr>
          <w:rFonts w:ascii="Calibri" w:hAnsi="Calibri"/>
          <w:i/>
          <w:color w:val="2D3748"/>
          <w:sz w:val="22"/>
        </w:rPr>
        <w:t>Default Boxes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35 - 65</w:t>
      </w:r>
      <w:r>
        <w:rPr>
          <w:rFonts w:ascii="Calibri" w:hAnsi="Calibri"/>
          <w:color w:val="2D3748"/>
          <w:sz w:val="22"/>
        </w:rPr>
        <w:t>: Strategi pencocokan Jaccard IoU dan mekanisme Hard Negative Mining (rasio 3:1).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65 - 100</w:t>
      </w:r>
      <w:r>
        <w:rPr>
          <w:rFonts w:ascii="Calibri" w:hAnsi="Calibri"/>
          <w:color w:val="2D3748"/>
          <w:sz w:val="22"/>
        </w:rPr>
        <w:t>: Praktikum komputer: Implementasi generator 8.732 kotak default SSD300 dan seleksi sampel negatif di PyTorch.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100 - 130</w:t>
      </w:r>
      <w:r>
        <w:rPr>
          <w:rFonts w:ascii="Calibri" w:hAnsi="Calibri"/>
          <w:color w:val="2D3748"/>
          <w:sz w:val="22"/>
        </w:rPr>
        <w:t>: Studi kasus deteksi hama kumbang badak (</w:t>
      </w:r>
      <w:r>
        <w:rPr>
          <w:rFonts w:ascii="Calibri" w:hAnsi="Calibri"/>
          <w:i/>
          <w:color w:val="2D3748"/>
          <w:sz w:val="22"/>
        </w:rPr>
        <w:t>Oryctes rhinoceros</w:t>
      </w:r>
      <w:r>
        <w:rPr>
          <w:rFonts w:ascii="Calibri" w:hAnsi="Calibri"/>
          <w:color w:val="2D3748"/>
          <w:sz w:val="22"/>
        </w:rPr>
        <w:t>) pada tanaman sawit fase TBM.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130 - 150</w:t>
      </w:r>
      <w:r>
        <w:rPr>
          <w:rFonts w:ascii="Calibri" w:hAnsi="Calibri"/>
          <w:color w:val="2D3748"/>
          <w:sz w:val="22"/>
        </w:rPr>
        <w:t>: Pembahasan normalisasi L2 pada lapisan Conv4_3 dan kuis komparasi SSD vs YOLO.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Soal Evaluasi &amp;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1 (Penggantian Fully-Connected VGG pada SSD)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Lapisan Fully-Connected (FC) asli VGG-16 mengunci dimensi citra masukan pada resolusi kaku (</w:t>
      </w:r>
      <m:oMath xmlns:mml="http://www.w3.org/1998/Math/MathML">
        <m:r>
          <m:t>224×224</m:t>
        </m:r>
      </m:oMath>
      <w:r>
        <w:rPr>
          <w:rFonts w:ascii="Calibri" w:hAnsi="Calibri"/>
          <w:color w:val="2D3748"/>
          <w:sz w:val="22"/>
        </w:rPr>
        <w:t>), menyerap lebih dari 100 juta parameter, dan menghancurkan topologi spasial 2D menjadi 1D.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SSD mengonversi FC6 dan FC7 menjadi lapisan konvolusional murni (Conv6 dan Conv7):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Mengurangi parameter model secara drastis dari 138 juta menjadi ~26 juta.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Memungkinkan jaringan menerima dimensi citra fleksibel (</w:t>
      </w:r>
      <m:oMath xmlns:mml="http://www.w3.org/1998/Math/MathML">
        <m:r>
          <m:t>300×300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512×512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Mempertahankan resolusi spasial untuk diekstraksi lebih lanjut ke lapisan piramida berikutnya.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Soal Mandiri 2 (Modul L2 Normalization PyTorch)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br/>
              <w:t>class L2Norm(nn.Module):</w:t>
              <w:br/>
              <w:t xml:space="preserve">    def __init__(self, num_channels, scale=20.0):</w:t>
              <w:br/>
              <w:t xml:space="preserve">        super().__init__()</w:t>
              <w:br/>
              <w:t xml:space="preserve">        self.num_channels = num_channels</w:t>
              <w:br/>
              <w:t xml:space="preserve">        self.gamma = nn.Parameter(torch.Tensor(num_channels))</w:t>
              <w:br/>
              <w:t xml:space="preserve">        self.reset_parameters(scale)</w:t>
              <w:br/>
              <w:t xml:space="preserve">        self.eps = 1e-10</w:t>
              <w:br/>
              <w:t xml:space="preserve">        </w:t>
              <w:br/>
              <w:t xml:space="preserve">    def reset_parameters(self, scale):</w:t>
              <w:br/>
              <w:t xml:space="preserve">        nn.init.constant_(self.gamma, scale)</w:t>
              <w:br/>
              <w:t xml:space="preserve">        </w:t>
              <w:br/>
              <w:t xml:space="preserve">    def forward(self, x):</w:t>
              <w:br/>
              <w:t xml:space="preserve">        # x: Tensor (Batch, Channels, H, W)</w:t>
              <w:br/>
              <w:t xml:space="preserve">        norm = x.pow(2).sum(dim=1, keepdim=True).sqrt() + self.eps</w:t>
              <w:br/>
              <w:t xml:space="preserve">        x = torch.div(x, norm)</w:t>
              <w:br/>
              <w:t xml:space="preserve">        # Reshape gamma untuk per-channel scaling</w:t>
              <w:br/>
              <w:t xml:space="preserve">        out = self.gamma.unsqueeze(0).unsqueeze(2).unsqueeze(3) * x</w:t>
              <w:br/>
              <w:t xml:space="preserve">        return out</w:t>
              <w:br/>
              <w:br/>
              <w:t># Uji tensor Conv4_3 (N, 512, 38, 38)</w:t>
              <w:br/>
              <w:t>conv4_3_feat = torch.randn(2, 512, 38, 38) * 50.0 # Aktivasi besar</w:t>
              <w:br/>
              <w:t>l2_norm = L2Norm(512, scale=20.0)</w:t>
              <w:br/>
              <w:t>out_norm = l2_norm(conv4_3_feat)</w:t>
              <w:br/>
              <w:t>print(f"Norma kanal setelah normalisasi: {out_norm[:, :, 0, 0].norm(dim=1)}") # Bernilai ~20.0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Kebenaran Formulasi Default Boxes (35%)</w:t>
      </w:r>
      <w:r>
        <w:rPr>
          <w:rFonts w:ascii="Calibri" w:hAnsi="Calibri"/>
          <w:color w:val="2D3748"/>
          <w:sz w:val="22"/>
        </w:rPr>
        <w:t>: Generator menghasilkan tepat 8.732 kotak berdimensi dan berpusat benar.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Implementasi Hard Negative Mining (35%)</w:t>
      </w:r>
      <w:r>
        <w:rPr>
          <w:rFonts w:ascii="Calibri" w:hAnsi="Calibri"/>
          <w:color w:val="2D3748"/>
          <w:sz w:val="22"/>
        </w:rPr>
        <w:t>: Logika pengurutan loss dan perankingan menghasilkan rasio presisi 3:1.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Piramida Fitur (15%)</w:t>
      </w:r>
      <w:r>
        <w:rPr>
          <w:rFonts w:ascii="Calibri" w:hAnsi="Calibri"/>
          <w:color w:val="2D3748"/>
          <w:sz w:val="22"/>
        </w:rPr>
        <w:t>: Representasi visual memperlihatkan rentang skala kotak mikro hingga makro dengan jelas.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Kualitas Kode &amp; Standar Rekayasa (15%)</w:t>
      </w:r>
      <w:r>
        <w:rPr>
          <w:rFonts w:ascii="Calibri" w:hAnsi="Calibri"/>
          <w:color w:val="2D3748"/>
          <w:sz w:val="22"/>
        </w:rPr>
        <w:t>: Struktur kode modular, efisien secara komputasi, dan terdokumentasi dengan baik.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