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13.4.1 - Deteksi Penyakit Daun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00 - 35</w:t>
      </w:r>
      <w:r>
        <w:rPr>
          <w:rFonts w:ascii="Calibri" w:hAnsi="Calibri"/>
          <w:color w:val="2D3748"/>
          <w:sz w:val="22"/>
        </w:rPr>
        <w:t>: Telaah patologi daun sawit (</w:t>
      </w:r>
      <w:r>
        <w:rPr>
          <w:rFonts w:ascii="Calibri" w:hAnsi="Calibri"/>
          <w:i/>
          <w:color w:val="2D3748"/>
          <w:sz w:val="22"/>
        </w:rPr>
        <w:t>Curvularia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Pestalotiopsis</w:t>
      </w:r>
      <w:r>
        <w:rPr>
          <w:rFonts w:ascii="Calibri" w:hAnsi="Calibri"/>
          <w:color w:val="2D3748"/>
          <w:sz w:val="22"/>
        </w:rPr>
        <w:t>) dan perbedaan visual terhadap defisiensi hara makro.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35 - 65</w:t>
      </w:r>
      <w:r>
        <w:rPr>
          <w:rFonts w:ascii="Calibri" w:hAnsi="Calibri"/>
          <w:color w:val="2D3748"/>
          <w:sz w:val="22"/>
        </w:rPr>
        <w:t>: Penurunan matematis rasio keparahan spasial dan Disease Severity Index (DSI).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>: Praktikum komputer: Segmentasi HSV, kuantifikasi luas lesi nekrotik, dan pembuatan overlay visual.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pembibitan PT Sawit Nusantara dan perancangan pohon keputusan proteksi tanaman.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mitigasi pantulan cahaya matahari (</w:t>
      </w:r>
      <w:r>
        <w:rPr>
          <w:rFonts w:ascii="Calibri" w:hAnsi="Calibri"/>
          <w:i/>
          <w:color w:val="2D3748"/>
          <w:sz w:val="22"/>
        </w:rPr>
        <w:t>specular glare</w:t>
      </w:r>
      <w:r>
        <w:rPr>
          <w:rFonts w:ascii="Calibri" w:hAnsi="Calibri"/>
          <w:color w:val="2D3748"/>
          <w:sz w:val="22"/>
        </w:rPr>
        <w:t>) dan kuis evaluasi.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(Keunggulan Ruang Warna HSV vs RGB)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Ruang warna RGB mencampurkan informasi kromatik (warna murni) dengan intensitas cahaya (</w:t>
      </w:r>
      <w:r>
        <w:rPr>
          <w:rFonts w:ascii="Calibri" w:hAnsi="Calibri"/>
          <w:i/>
          <w:color w:val="2D3748"/>
          <w:sz w:val="22"/>
        </w:rPr>
        <w:t>luminance</w:t>
      </w:r>
      <w:r>
        <w:rPr>
          <w:rFonts w:ascii="Calibri" w:hAnsi="Calibri"/>
          <w:color w:val="2D3748"/>
          <w:sz w:val="22"/>
        </w:rPr>
        <w:t>) pada ketiga kanalnya (</w:t>
      </w:r>
      <m:oMath xmlns:mml="http://www.w3.org/1998/Math/MathML">
        <m:r>
          <m:t>R,G,B</m:t>
        </m:r>
      </m:oMath>
      <w:r>
        <w:rPr>
          <w:rFonts w:ascii="Calibri" w:hAnsi="Calibri"/>
          <w:color w:val="2D3748"/>
          <w:sz w:val="22"/>
        </w:rPr>
        <w:t>). Ketika awan melintas atau terjadi bayangan pelepah, nilai ketiga kanal bergeser drastis secara non-linear, merusak ambang batas biner.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Ruang warna </w:t>
      </w:r>
      <w:r>
        <w:rPr>
          <w:rFonts w:ascii="Calibri" w:hAnsi="Calibri"/>
          <w:b/>
          <w:color w:val="2D3748"/>
          <w:sz w:val="22"/>
        </w:rPr>
        <w:t>HSV</w:t>
      </w:r>
      <w:r>
        <w:rPr>
          <w:rFonts w:ascii="Calibri" w:hAnsi="Calibri"/>
          <w:color w:val="2D3748"/>
          <w:sz w:val="22"/>
        </w:rPr>
        <w:t xml:space="preserve"> memisahkan komponen warna murni (</w:t>
      </w:r>
      <w:r>
        <w:rPr>
          <w:rFonts w:ascii="Calibri" w:hAnsi="Calibri"/>
          <w:i/>
          <w:color w:val="2D3748"/>
          <w:sz w:val="22"/>
        </w:rPr>
        <w:t>Hue / H</w:t>
      </w:r>
      <w:r>
        <w:rPr>
          <w:rFonts w:ascii="Calibri" w:hAnsi="Calibri"/>
          <w:color w:val="2D3748"/>
          <w:sz w:val="22"/>
        </w:rPr>
        <w:t>) dari saturasi (</w:t>
      </w:r>
      <w:r>
        <w:rPr>
          <w:rFonts w:ascii="Calibri" w:hAnsi="Calibri"/>
          <w:i/>
          <w:color w:val="2D3748"/>
          <w:sz w:val="22"/>
        </w:rPr>
        <w:t>S</w:t>
      </w:r>
      <w:r>
        <w:rPr>
          <w:rFonts w:ascii="Calibri" w:hAnsi="Calibri"/>
          <w:color w:val="2D3748"/>
          <w:sz w:val="22"/>
        </w:rPr>
        <w:t>) dan intensitas cahaya (</w:t>
      </w:r>
      <w:r>
        <w:rPr>
          <w:rFonts w:ascii="Calibri" w:hAnsi="Calibri"/>
          <w:i/>
          <w:color w:val="2D3748"/>
          <w:sz w:val="22"/>
        </w:rPr>
        <w:t>Value / V</w:t>
      </w:r>
      <w:r>
        <w:rPr>
          <w:rFonts w:ascii="Calibri" w:hAnsi="Calibri"/>
          <w:color w:val="2D3748"/>
          <w:sz w:val="22"/>
        </w:rPr>
        <w:t xml:space="preserve">). Variasi bayangan hanya memengaruhi kanal </w:t>
      </w:r>
      <m:oMath xmlns:mml="http://www.w3.org/1998/Math/MathML">
        <m:r>
          <m:t>V</m:t>
        </m:r>
      </m:oMath>
      <w:r>
        <w:rPr>
          <w:rFonts w:ascii="Calibri" w:hAnsi="Calibri"/>
          <w:color w:val="2D3748"/>
          <w:sz w:val="22"/>
        </w:rPr>
        <w:t xml:space="preserve">, sedangkan nilai </w:t>
      </w:r>
      <m:oMath xmlns:mml="http://www.w3.org/1998/Math/MathML">
        <m:r>
          <m:t>H</m:t>
        </m:r>
      </m:oMath>
      <w:r>
        <w:rPr>
          <w:rFonts w:ascii="Calibri" w:hAnsi="Calibri"/>
          <w:color w:val="2D3748"/>
          <w:sz w:val="22"/>
        </w:rPr>
        <w:t xml:space="preserve"> untuk daun hijau (rentang </w:t>
      </w:r>
      <m:oMath xmlns:mml="http://www.w3.org/1998/Math/MathML">
        <m:r>
          <m:t>35−</m:t>
        </m:r>
        <m:sSup>
          <m:e>
            <m:r>
              <m:t>85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>) dan lesi nekrotik cokelat (</w:t>
      </w:r>
      <m:oMath xmlns:mml="http://www.w3.org/1998/Math/MathML">
        <m:r>
          <m:t>10−</m:t>
        </m:r>
        <m:sSup>
          <m:e>
            <m:r>
              <m:t>25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>) tetap stabil.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(Metrik Bentuk Kontur Lesi)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cv2</w:t>
              <w:br/>
              <w:br/>
              <w:t>def extract_lesion_morphology(contour):</w:t>
              <w:br/>
              <w:t xml:space="preserve">    area = cv2.contourArea(contour)</w:t>
              <w:br/>
              <w:t xml:space="preserve">    perimeter = cv2.arcLength(contour, True)</w:t>
              <w:br/>
              <w:t xml:space="preserve">    if perimeter == 0:</w:t>
              <w:br/>
              <w:t xml:space="preserve">        return 0.0, 0.0</w:t>
              <w:br/>
              <w:t xml:space="preserve">    # Sirkularitas = 4 * pi * Area / (Perimeter^2)</w:t>
              <w:br/>
              <w:t xml:space="preserve">    circularity = (4 * 3.14159 * area) / (perimeter ** 2)</w:t>
              <w:br/>
              <w:t xml:space="preserve">    </w:t>
              <w:br/>
              <w:t xml:space="preserve">    # Rasio Aspek Bounding Box</w:t>
              <w:br/>
              <w:t xml:space="preserve">    x, y, w, h = cv2.boundingRect(contour)</w:t>
              <w:br/>
              <w:t xml:space="preserve">    aspect_ratio = float(w) / h if h &gt; 0 else 1.0</w:t>
              <w:br/>
              <w:t xml:space="preserve">    return circularity, aspect_ratio</w:t>
              <w:br/>
              <w:br/>
              <w:t># Curvularia: sirkularitas tinggi (&gt; 0.75), aspect ratio ~1.0</w:t>
              <w:br/>
              <w:t># Pestalotiopsis: sirkularitas rendah (&lt; 0.50), memanjang elips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Ketepatan Segmentasi Spasial (35%)</w:t>
      </w:r>
      <w:r>
        <w:rPr>
          <w:rFonts w:ascii="Calibri" w:hAnsi="Calibri"/>
          <w:color w:val="2D3748"/>
          <w:sz w:val="22"/>
        </w:rPr>
        <w:t>: Masker daun dan lesi terpisah bersih tanpa menyertakan latar belakang tanah.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Kuantifikasi Keparahan Akurat (30%)</w:t>
      </w:r>
      <w:r>
        <w:rPr>
          <w:rFonts w:ascii="Calibri" w:hAnsi="Calibri"/>
          <w:color w:val="2D3748"/>
          <w:sz w:val="22"/>
        </w:rPr>
        <w:t xml:space="preserve">: Perhitungan persentase kerusakan </w:t>
      </w:r>
      <m:oMath xmlns:mml="http://www.w3.org/1998/Math/MathML">
        <m:r>
          <m:t>ϕ</m:t>
        </m:r>
      </m:oMath>
      <w:r>
        <w:rPr>
          <w:rFonts w:ascii="Calibri" w:hAnsi="Calibri"/>
          <w:color w:val="2D3748"/>
          <w:sz w:val="22"/>
        </w:rPr>
        <w:t xml:space="preserve"> konsisten dengan luas piksel terdeteksi.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Integrasi Rekomendasi Agronomi (20%)</w:t>
      </w:r>
      <w:r>
        <w:rPr>
          <w:rFonts w:ascii="Calibri" w:hAnsi="Calibri"/>
          <w:color w:val="2D3748"/>
          <w:sz w:val="22"/>
        </w:rPr>
        <w:t>: Pohon keputusan menghasilkan arahan dosis kimia dan budidaya yang logis.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Visualisasi Diagnostik (15%)</w:t>
      </w:r>
      <w:r>
        <w:rPr>
          <w:rFonts w:ascii="Calibri" w:hAnsi="Calibri"/>
          <w:color w:val="2D3748"/>
          <w:sz w:val="22"/>
        </w:rPr>
        <w:t>: Panel gambar menampilkan citra asli, masker biner, dan overlay secara proporsional.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