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11.3: Color Conversion</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11.3</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11.2 (Image Reading dan Manipulation)</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1066460"/>
            <wp:docPr id="1" name="Picture 1"/>
            <wp:cNvGraphicFramePr>
              <a:graphicFrameLocks noChangeAspect="1"/>
            </wp:cNvGraphicFramePr>
            <a:graphic>
              <a:graphicData uri="http://schemas.openxmlformats.org/drawingml/2006/picture">
                <pic:pic>
                  <pic:nvPicPr>
                    <pic:cNvPr id="0" name="2f7d966b37b669e575a13dc74acac0e3.png"/>
                    <pic:cNvPicPr/>
                  </pic:nvPicPr>
                  <pic:blipFill>
                    <a:blip r:embed="rId9"/>
                    <a:stretch>
                      <a:fillRect/>
                    </a:stretch>
                  </pic:blipFill>
                  <pic:spPr>
                    <a:xfrm>
                      <a:off x="0" y="0"/>
                      <a:ext cx="5029200" cy="1066460"/>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prinsip fisika dan komputasi dari berbagai model representasi ruang warna: BGR/RGB (perangkat penangkap optik), Grayscale (intensitas luminansi), HSV/HSB (persepsi sifat warna intuitif), dan CIELAB (persepsi warna berjarak seragam / </w:t>
      </w:r>
      <w:r>
        <w:rPr>
          <w:rFonts w:ascii="Calibri" w:hAnsi="Calibri"/>
          <w:i/>
          <w:color w:val="2D3748"/>
          <w:sz w:val="22"/>
        </w:rPr>
        <w:t>perceptually uniform</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fungsi konversi warna OpenCV (</w:t>
      </w:r>
      <w:r>
        <w:rPr>
          <w:rFonts w:ascii="Consolas" w:hAnsi="Consolas"/>
          <w:color w:val="9C1A1A"/>
          <w:sz w:val="19"/>
        </w:rPr>
        <w:t>cv2.cvtColor()</w:t>
      </w:r>
      <w:r>
        <w:rPr>
          <w:rFonts w:ascii="Calibri" w:hAnsi="Calibri"/>
          <w:color w:val="2D3748"/>
          <w:sz w:val="22"/>
        </w:rPr>
        <w:t>) serta teknik segmentasi warna berbasis ambang rentang ganda (</w:t>
      </w:r>
      <w:r>
        <w:rPr>
          <w:rFonts w:ascii="Consolas" w:hAnsi="Consolas"/>
          <w:color w:val="9C1A1A"/>
          <w:sz w:val="19"/>
        </w:rPr>
        <w:t>cv2.inRange()</w:t>
      </w:r>
      <w:r>
        <w:rPr>
          <w:rFonts w:ascii="Calibri" w:hAnsi="Calibri"/>
          <w:color w:val="2D3748"/>
          <w:sz w:val="22"/>
        </w:rPr>
        <w:t>) yang digabungkan dengan operasi logika penyamaran piksel (</w:t>
      </w:r>
      <w:r>
        <w:rPr>
          <w:rFonts w:ascii="Consolas" w:hAnsi="Consolas"/>
          <w:color w:val="9C1A1A"/>
          <w:sz w:val="19"/>
        </w:rPr>
        <w:t>cv2.bitwise_and()</w:t>
      </w:r>
      <w:r>
        <w:rPr>
          <w:rFonts w:ascii="Calibri" w:hAnsi="Calibri"/>
          <w:color w:val="2D3748"/>
          <w:sz w:val="22"/>
        </w:rPr>
        <w:t>) pada data citra perkebunan.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keunggulan ruang warna HSV dan CIELAB dalam mengatasi tantangan bayangan awan dan variasi intensitas radiasi matahari langsung pada pemilahan kematangan buah kelapa sawit di lingkungan terbuka.</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Pemahaman mendalam formula matematis konversi BGR ke Grayscale, BGR ke HSV, dan dekomposisi kanal warna.</w:t>
      </w:r>
    </w:p>
    <w:p>
      <w:pPr>
        <w:pStyle w:val="ListBullet"/>
        <w:spacing w:before="0" w:after="40" w:line="276" w:lineRule="auto"/>
        <w:ind w:left="720"/>
      </w:pPr>
      <w:r>
        <w:rPr>
          <w:rFonts w:ascii="Calibri" w:hAnsi="Calibri"/>
          <w:color w:val="2D3748"/>
          <w:sz w:val="22"/>
        </w:rPr>
        <w:t>Skrip Python modular berstandar PEP 8 untuk segmentasi warna buah sawit matang (oranye-merah) dan daun tanaman (hijau).</w:t>
      </w:r>
    </w:p>
    <w:p>
      <w:pPr>
        <w:pStyle w:val="ListBullet"/>
        <w:spacing w:before="0" w:after="40" w:line="276" w:lineRule="auto"/>
        <w:ind w:left="720"/>
      </w:pPr>
      <w:r>
        <w:rPr>
          <w:rFonts w:ascii="Calibri" w:hAnsi="Calibri"/>
          <w:color w:val="2D3748"/>
          <w:sz w:val="22"/>
        </w:rPr>
        <w:t>Laporan analisis komparasi ketahanan masker segmentasi antara ruang warna BGR dan ruang warna HSV pada variasi pencahayaan lapangan.</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Keahlian memilih ruang warna yang tepat sesuai dengan tujuan inspeksi agronomis (deteksi penyakit, pematangan buah, atau analisis tekstur tanah).</w:t>
      </w:r>
    </w:p>
    <w:p>
      <w:pPr>
        <w:pStyle w:val="ListBullet"/>
        <w:spacing w:before="0" w:after="40" w:line="276" w:lineRule="auto"/>
        <w:ind w:left="720"/>
      </w:pPr>
      <w:r>
        <w:rPr>
          <w:rFonts w:ascii="Calibri" w:hAnsi="Calibri"/>
          <w:color w:val="2D3748"/>
          <w:sz w:val="22"/>
        </w:rPr>
        <w:t>Kemampuan mengisolasi objek tanaman secara instan tanpa memerlukan beban komputasi berat jaringan saraf dalam.</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Peningkatan keandalan sistem inspeksi optik otomatis pada stasiun penerimaan pabrik kelapa sawit yang beroperasi di bawah kondisi cuaca alami dinamis.</w:t>
      </w:r>
    </w:p>
    <w:p>
      <w:pPr>
        <w:spacing w:before="120" w:after="120"/>
      </w:pPr>
      <w:r>
        <w:rPr>
          <w:color w:val="CBD5E0"/>
          <w:sz w:val="16"/>
        </w:rPr>
        <w:t>―――――――――――――――――――――――――――――――――――――――――――――</w:t>
      </w:r>
    </w:p>
    <w:p>
      <w:pPr>
        <w:keepNext/>
        <w:spacing w:before="240" w:after="80"/>
      </w:pPr>
      <w:r>
        <w:rPr>
          <w:rFonts w:ascii="Calibri" w:hAnsi="Calibri"/>
          <w:b/>
          <w:color w:val="2B6CB0"/>
          <w:sz w:val="28"/>
        </w:rPr>
        <w:t>2. Profil Fundamental Konversi Ruang Warna: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Konversi ruang warna adalah pemetaan matematis yang mentransformasikan vektor koordinat piksel dari satu basis representasi warna ke basis representasi warna lainnya: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Reduksi Dimensi (BGR ke Grayscale)</w:t>
      </w:r>
      <w:r>
        <w:rPr>
          <w:rFonts w:ascii="Calibri" w:hAnsi="Calibri"/>
          <w:color w:val="2D3748"/>
          <w:sz w:val="22"/>
        </w:rPr>
        <w:t>: Mengompresi informasi 3 kanal warna menjadi 1 kanal intensitas skalar tunggal berbobot fotometrik (</w:t>
      </w:r>
      <m:oMath xmlns:mml="http://www.w3.org/1998/Math/MathML">
        <m:r>
          <m:t>Y</m:t>
        </m:r>
      </m:oMath>
      <w:r>
        <w:rPr>
          <w:rFonts w:ascii="Calibri" w:hAnsi="Calibri"/>
          <w:color w:val="2D3748"/>
          <w:sz w:val="22"/>
        </w:rPr>
        <w:t xml:space="preserve">), mereduksi kebutuhan memori hingga </w:t>
      </w:r>
      <m:oMath xmlns:mml="http://www.w3.org/1998/Math/MathML">
        <m:r>
          <m:t>66.7%</m:t>
        </m:r>
      </m:oMath>
      <w:r>
        <w:rPr>
          <w:rFonts w:ascii="Calibri" w:hAnsi="Calibri"/>
          <w:color w:val="2D3748"/>
          <w:sz w:val="22"/>
        </w:rPr>
        <w:t xml:space="preserve"> dan mempercepat operasi filtering konvolusi.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Dekopling Krominansi dan Luminansi (BGR ke HSV / LAB)</w:t>
      </w:r>
      <w:r>
        <w:rPr>
          <w:rFonts w:ascii="Calibri" w:hAnsi="Calibri"/>
          <w:color w:val="2D3748"/>
          <w:sz w:val="22"/>
        </w:rPr>
        <w:t>: Memisahkan komponen intensitas cahaya (</w:t>
      </w:r>
      <w:r>
        <w:rPr>
          <w:rFonts w:ascii="Calibri" w:hAnsi="Calibri"/>
          <w:i/>
          <w:color w:val="2D3748"/>
          <w:sz w:val="22"/>
        </w:rPr>
        <w:t>Value</w:t>
      </w:r>
      <w:r>
        <w:rPr>
          <w:rFonts w:ascii="Calibri" w:hAnsi="Calibri"/>
          <w:color w:val="2D3748"/>
          <w:sz w:val="22"/>
        </w:rPr>
        <w:t xml:space="preserve"> pada HSV atau </w:t>
      </w:r>
      <m:oMath xmlns:mml="http://www.w3.org/1998/Math/MathML">
        <m:sSup>
          <m:e>
            <m:r>
              <m:t>L</m:t>
            </m:r>
          </m:e>
          <m:sup>
            <m:r>
              <m:t>*</m:t>
            </m:r>
          </m:sup>
        </m:sSup>
      </m:oMath>
      <w:r>
        <w:rPr>
          <w:rFonts w:ascii="Calibri" w:hAnsi="Calibri"/>
          <w:color w:val="2D3748"/>
          <w:sz w:val="22"/>
        </w:rPr>
        <w:t xml:space="preserve"> pada CIELAB) dari informasi warna murni (</w:t>
      </w:r>
      <w:r>
        <w:rPr>
          <w:rFonts w:ascii="Calibri" w:hAnsi="Calibri"/>
          <w:i/>
          <w:color w:val="2D3748"/>
          <w:sz w:val="22"/>
        </w:rPr>
        <w:t>Hue</w:t>
      </w:r>
      <w:r>
        <w:rPr>
          <w:rFonts w:ascii="Calibri" w:hAnsi="Calibri"/>
          <w:color w:val="2D3748"/>
          <w:sz w:val="22"/>
        </w:rPr>
        <w:t xml:space="preserve"> dan </w:t>
      </w:r>
      <w:r>
        <w:rPr>
          <w:rFonts w:ascii="Calibri" w:hAnsi="Calibri"/>
          <w:i/>
          <w:color w:val="2D3748"/>
          <w:sz w:val="22"/>
        </w:rPr>
        <w:t>Saturation</w:t>
      </w:r>
      <w:r>
        <w:rPr>
          <w:rFonts w:ascii="Calibri" w:hAnsi="Calibri"/>
          <w:color w:val="2D3748"/>
          <w:sz w:val="22"/>
        </w:rPr>
        <w:t xml:space="preserve"> pada HSV, atau </w:t>
      </w:r>
      <m:oMath xmlns:mml="http://www.w3.org/1998/Math/MathML">
        <m:sSup>
          <m:e>
            <m:r>
              <m:t>a</m:t>
            </m:r>
          </m:e>
          <m:sup>
            <m:r>
              <m:t>*</m:t>
            </m:r>
          </m:sup>
        </m:sSup>
      </m:oMath>
      <w:r>
        <w:rPr>
          <w:rFonts w:ascii="Calibri" w:hAnsi="Calibri"/>
          <w:color w:val="2D3748"/>
          <w:sz w:val="22"/>
        </w:rPr>
        <w:t xml:space="preserve"> dan </w:t>
      </w:r>
      <m:oMath xmlns:mml="http://www.w3.org/1998/Math/MathML">
        <m:sSup>
          <m:e>
            <m:r>
              <m:t>b</m:t>
            </m:r>
          </m:e>
          <m:sup>
            <m:r>
              <m:t>*</m:t>
            </m:r>
          </m:sup>
        </m:sSup>
      </m:oMath>
      <w:r>
        <w:rPr>
          <w:rFonts w:ascii="Calibri" w:hAnsi="Calibri"/>
          <w:color w:val="2D3748"/>
          <w:sz w:val="22"/>
        </w:rPr>
        <w:t xml:space="preserve"> pada CIELAB).</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Penyaringan Rentang Warna Spasial (*Color Slicing via Masking*)</w:t>
      </w:r>
      <w:r>
        <w:rPr>
          <w:rFonts w:ascii="Calibri" w:hAnsi="Calibri"/>
          <w:color w:val="2D3748"/>
          <w:sz w:val="22"/>
        </w:rPr>
        <w:t>: Mengidentifikasi seluruh piksel yang nilai warnanya berada di dalam batas bawah (</w:t>
      </w:r>
      <w:r>
        <w:rPr>
          <w:rFonts w:ascii="Calibri" w:hAnsi="Calibri"/>
          <w:i/>
          <w:color w:val="2D3748"/>
          <w:sz w:val="22"/>
        </w:rPr>
        <w:t>lower bound</w:t>
      </w:r>
      <w:r>
        <w:rPr>
          <w:rFonts w:ascii="Calibri" w:hAnsi="Calibri"/>
          <w:color w:val="2D3748"/>
          <w:sz w:val="22"/>
        </w:rPr>
        <w:t>) dan batas atas (</w:t>
      </w:r>
      <w:r>
        <w:rPr>
          <w:rFonts w:ascii="Calibri" w:hAnsi="Calibri"/>
          <w:i/>
          <w:color w:val="2D3748"/>
          <w:sz w:val="22"/>
        </w:rPr>
        <w:t>upper bound</w:t>
      </w:r>
      <w:r>
        <w:rPr>
          <w:rFonts w:ascii="Calibri" w:hAnsi="Calibri"/>
          <w:color w:val="2D3748"/>
          <w:sz w:val="22"/>
        </w:rPr>
        <w:t>) tertentu untuk menghasilkan masker biner tanaman.</w:t>
      </w:r>
    </w:p>
    <w:p>
      <w:pPr>
        <w:keepNext/>
        <w:spacing w:before="200" w:after="40"/>
      </w:pPr>
      <w:r>
        <w:rPr>
          <w:rFonts w:ascii="Calibri" w:hAnsi="Calibri"/>
          <w:b/>
          <w:color w:val="2D3748"/>
          <w:sz w:val="24"/>
        </w:rPr>
        <w:t>2.2 Manfaat Nyata di Industri Perkebunan &amp; Agribisnis</w:t>
      </w:r>
    </w:p>
    <w:p>
      <w:pPr>
        <w:pStyle w:val="ListBullet"/>
        <w:spacing w:before="0" w:after="40" w:line="276" w:lineRule="auto"/>
        <w:ind w:left="360"/>
      </w:pPr>
      <w:r>
        <w:rPr>
          <w:rFonts w:ascii="Calibri" w:hAnsi="Calibri"/>
          <w:b/>
          <w:color w:val="2D3748"/>
          <w:sz w:val="22"/>
        </w:rPr>
        <w:t>Sortasi Kematangan Tandan Buah Segar (TBS)</w:t>
      </w:r>
      <w:r>
        <w:rPr>
          <w:rFonts w:ascii="Calibri" w:hAnsi="Calibri"/>
          <w:color w:val="2D3748"/>
          <w:sz w:val="22"/>
        </w:rPr>
        <w:t>: Menghitung persentase buah matang (jingga cerah / merah) vs buah mentah (hitam keunguan) berdasarkan nilai Hue pada ruang warna HSV.</w:t>
      </w:r>
    </w:p>
    <w:p>
      <w:pPr>
        <w:pStyle w:val="ListBullet"/>
        <w:spacing w:before="0" w:after="40" w:line="276" w:lineRule="auto"/>
        <w:ind w:left="360"/>
      </w:pPr>
      <w:r>
        <w:rPr>
          <w:rFonts w:ascii="Calibri" w:hAnsi="Calibri"/>
          <w:b/>
          <w:color w:val="2D3748"/>
          <w:sz w:val="22"/>
        </w:rPr>
        <w:t>Deteksi Defisiensi Nitrogen &amp; Klorosis</w:t>
      </w:r>
      <w:r>
        <w:rPr>
          <w:rFonts w:ascii="Calibri" w:hAnsi="Calibri"/>
          <w:color w:val="2D3748"/>
          <w:sz w:val="22"/>
        </w:rPr>
        <w:t>: Memantau pergeseran nilai Hue daun kelapa sawit dari hijau pekat (</w:t>
      </w:r>
      <m:oMath xmlns:mml="http://www.w3.org/1998/Math/MathML">
        <m:r>
          <m:t>H≈60−80</m:t>
        </m:r>
      </m:oMath>
      <w:r>
        <w:rPr>
          <w:rFonts w:ascii="Calibri" w:hAnsi="Calibri"/>
          <w:color w:val="2D3748"/>
          <w:sz w:val="22"/>
        </w:rPr>
        <w:t>) menuju kuning pucat (</w:t>
      </w:r>
      <m:oMath xmlns:mml="http://www.w3.org/1998/Math/MathML">
        <m:r>
          <m:t>H≈25−40</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Eliminasi Bayangan Kanopi pada Citra Drone</w:t>
      </w:r>
      <w:r>
        <w:rPr>
          <w:rFonts w:ascii="Calibri" w:hAnsi="Calibri"/>
          <w:color w:val="2D3748"/>
          <w:sz w:val="22"/>
        </w:rPr>
        <w:t xml:space="preserve">: Memisahkan daun yang terkena sinar matahari langsung dan daun di bawah bayangan menggunakan kanal </w:t>
      </w:r>
      <m:oMath xmlns:mml="http://www.w3.org/1998/Math/MathML">
        <m:sSup>
          <m:e>
            <m:r>
              <m:t>L</m:t>
            </m:r>
          </m:e>
          <m:sup>
            <m:r>
              <m:t>*</m:t>
            </m:r>
          </m:sup>
        </m:sSup>
      </m:oMath>
      <w:r>
        <w:rPr>
          <w:rFonts w:ascii="Calibri" w:hAnsi="Calibri"/>
          <w:color w:val="2D3748"/>
          <w:sz w:val="22"/>
        </w:rPr>
        <w:t xml:space="preserve"> pada ruang warna CIELAB.</w:t>
      </w:r>
    </w:p>
    <w:p>
      <w:pPr>
        <w:keepNext/>
        <w:spacing w:before="200" w:after="40"/>
      </w:pPr>
      <w:r>
        <w:rPr>
          <w:rFonts w:ascii="Calibri" w:hAnsi="Calibri"/>
          <w:b/>
          <w:color w:val="2D3748"/>
          <w:sz w:val="24"/>
        </w:rPr>
        <w:t>2.3 Rationale: Alasan Mengapa Metode Ini Digunakan</w:t>
      </w:r>
    </w:p>
    <w:p>
      <w:pPr>
        <w:spacing w:before="0" w:after="80" w:line="276" w:lineRule="auto"/>
      </w:pPr>
      <w:r>
        <w:rPr>
          <w:rFonts w:ascii="Calibri" w:hAnsi="Calibri"/>
          <w:color w:val="2D3748"/>
          <w:sz w:val="22"/>
        </w:rPr>
        <w:t>Dalam ruang warna BGR asli, nilai ketiga kanal (</w:t>
      </w:r>
      <m:oMath xmlns:mml="http://www.w3.org/1998/Math/MathML">
        <m:r>
          <m:t>B,G,R</m:t>
        </m:r>
      </m:oMath>
      <w:r>
        <w:rPr>
          <w:rFonts w:ascii="Calibri" w:hAnsi="Calibri"/>
          <w:color w:val="2D3748"/>
          <w:sz w:val="22"/>
        </w:rPr>
        <w:t>) berubah secara simultan jika intensitas sinar matahari bertambah atau tertutup awan, sehingga perancangan aturan ambang batas biner menjadi sangat rapuh. Dengan mengonversi citra ke ruang warna HSV, informasi corak warna (</w:t>
      </w:r>
      <w:r>
        <w:rPr>
          <w:rFonts w:ascii="Calibri" w:hAnsi="Calibri"/>
          <w:i/>
          <w:color w:val="2D3748"/>
          <w:sz w:val="22"/>
        </w:rPr>
        <w:t>Hue</w:t>
      </w:r>
      <w:r>
        <w:rPr>
          <w:rFonts w:ascii="Calibri" w:hAnsi="Calibri"/>
          <w:color w:val="2D3748"/>
          <w:sz w:val="22"/>
        </w:rPr>
        <w:t>) tetap konstan meskipun intensitas cahaya (</w:t>
      </w:r>
      <w:r>
        <w:rPr>
          <w:rFonts w:ascii="Calibri" w:hAnsi="Calibri"/>
          <w:i/>
          <w:color w:val="2D3748"/>
          <w:sz w:val="22"/>
        </w:rPr>
        <w:t>Value</w:t>
      </w:r>
      <w:r>
        <w:rPr>
          <w:rFonts w:ascii="Calibri" w:hAnsi="Calibri"/>
          <w:color w:val="2D3748"/>
          <w:sz w:val="22"/>
        </w:rPr>
        <w:t>) berfluktuasi secara drastis.</w:t>
      </w:r>
    </w:p>
    <w:p>
      <w:pPr>
        <w:keepNext/>
        <w:spacing w:before="200" w:after="40"/>
      </w:pPr>
      <w:r>
        <w:rPr>
          <w:rFonts w:ascii="Calibri" w:hAnsi="Calibri"/>
          <w:b/>
          <w:color w:val="2D3748"/>
          <w:sz w:val="24"/>
        </w:rPr>
        <w:t>2.4 Analisis Kelebihan dan Kekurangan Ruang Warna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Ruang Warna</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Parameter Komponen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Keunggulan Utama</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Kelemahan Kritis</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Rekomendasi Kasus Perkebunan</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BGR</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Blue, Green, Red (</w:t>
            </w:r>
            <m:oMath xmlns:mml="http://www.w3.org/1998/Math/MathML">
              <m:r>
                <m:t>0−255</m:t>
              </m:r>
            </m:oMath>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Format asli perangkat keras kamera.</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sensitif terhadap bayangan dan kecerahan.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Akuisisi awal dan penulisan berkas citra.</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Grayscale</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Intensitas Tunggal (</w:t>
            </w:r>
            <m:oMath xmlns:mml="http://www.w3.org/1998/Math/MathML">
              <m:r>
                <m:t>0−255</m:t>
              </m:r>
            </m:oMath>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Komputasi paling cepat, data kompak.</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Kehilangan seluruh informasi diferensiasi spektral warna.</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Deteksi tepi Canny, analisis tekstur, dan deteksi wajah.</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HSV</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Hue (</w:t>
            </w:r>
            <m:oMath xmlns:mml="http://www.w3.org/1998/Math/MathML">
              <m:r>
                <m:t>0−179</m:t>
              </m:r>
            </m:oMath>
            <w:r>
              <w:rPr>
                <w:rFonts w:ascii="Calibri" w:hAnsi="Calibri"/>
                <w:color w:val="2D3748"/>
                <w:sz w:val="19"/>
              </w:rPr>
              <w:t>), Sat (</w:t>
            </w:r>
            <m:oMath xmlns:mml="http://www.w3.org/1998/Math/MathML">
              <m:r>
                <m:t>0−255</m:t>
              </m:r>
            </m:oMath>
            <w:r>
              <w:rPr>
                <w:rFonts w:ascii="Calibri" w:hAnsi="Calibri"/>
                <w:color w:val="2D3748"/>
                <w:sz w:val="19"/>
              </w:rPr>
              <w:t>), Val (</w:t>
            </w:r>
            <m:oMath xmlns:mml="http://www.w3.org/1998/Math/MathML">
              <m:r>
                <m:t>0−255</m:t>
              </m:r>
            </m:oMath>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Memisahkan corak warna dari intensitas cahaya.</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Hue bernilai singular/tak tentu pada saat Saturation nol.</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Segmentasi buah matang dan pemetaan tajuk daun hijau.</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CIELAB</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L (</w:t>
            </w:r>
            <m:oMath xmlns:mml="http://www.w3.org/1998/Math/MathML">
              <m:r>
                <m:t>0−255</m:t>
              </m:r>
            </m:oMath>
            <w:r>
              <w:rPr>
                <w:rFonts w:ascii="Calibri" w:hAnsi="Calibri"/>
                <w:color w:val="2D3748"/>
                <w:sz w:val="19"/>
              </w:rPr>
              <w:t>), a (</w:t>
            </w:r>
            <m:oMath xmlns:mml="http://www.w3.org/1998/Math/MathML">
              <m:r>
                <m:t>0−255</m:t>
              </m:r>
            </m:oMath>
            <w:r>
              <w:rPr>
                <w:rFonts w:ascii="Calibri" w:hAnsi="Calibri"/>
                <w:color w:val="2D3748"/>
                <w:sz w:val="19"/>
              </w:rPr>
              <w:t>), b (</w:t>
            </w:r>
            <m:oMath xmlns:mml="http://www.w3.org/1998/Math/MathML">
              <m:r>
                <m:t>0−255</m:t>
              </m:r>
            </m:oMath>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Jarak Euclidean antar-warna seragam persepsi (</w:t>
            </w:r>
            <w:r>
              <w:rPr>
                <w:rFonts w:ascii="Calibri" w:hAnsi="Calibri"/>
                <w:i/>
                <w:color w:val="2D3748"/>
                <w:sz w:val="19"/>
              </w:rPr>
              <w:t>perceptual</w:t>
            </w:r>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Transformasi matematis non-linier lebih berat.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Pengukuran derajat warna baku standar laboratorium CPO.</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80" w:line="276" w:lineRule="auto"/>
      </w:pPr>
      <w:r>
        <w:rPr>
          <w:rFonts w:ascii="Calibri" w:hAnsi="Calibri"/>
          <w:color w:val="2D3748"/>
          <w:sz w:val="22"/>
        </w:rPr>
        <w:t xml:space="preserve">Pabrik Kelapa Sawit mengoperasikan kamera sortasi di atas meja getar. Ketika awan melintas di atas atap transparan pabrik, intensitas cahaya turun sebesar </w:t>
      </w:r>
      <m:oMath xmlns:mml="http://www.w3.org/1998/Math/MathML">
        <m:r>
          <m:t>40%</m:t>
        </m:r>
      </m:oMath>
      <w:r>
        <w:rPr>
          <w:rFonts w:ascii="Calibri" w:hAnsi="Calibri"/>
          <w:color w:val="2D3748"/>
          <w:sz w:val="22"/>
        </w:rPr>
        <w:t xml:space="preserve">. Sistem sortasi berbasis BGR mengalami kegagalan karena nilai </w:t>
      </w:r>
      <m:oMath xmlns:mml="http://www.w3.org/1998/Math/MathML">
        <m:r>
          <m:t>R</m:t>
        </m:r>
      </m:oMath>
      <w:r>
        <w:rPr>
          <w:rFonts w:ascii="Calibri" w:hAnsi="Calibri"/>
          <w:color w:val="2D3748"/>
          <w:sz w:val="22"/>
        </w:rPr>
        <w:t xml:space="preserve"> buah matang turun di bawah ambang batas statis, sehingga buah matang didiagnosa sebagai buah mentah. Setelah insinyur memperbarui pipeline ke ruang warna HSV, sistem hanya memantau parameter </w:t>
      </w:r>
      <m:oMath xmlns:mml="http://www.w3.org/1998/Math/MathML">
        <m:r>
          <m:t>H∈[10,25]</m:t>
        </m:r>
      </m:oMath>
      <w:r>
        <w:rPr>
          <w:rFonts w:ascii="Calibri" w:hAnsi="Calibri"/>
          <w:color w:val="2D3748"/>
          <w:sz w:val="22"/>
        </w:rPr>
        <w:t xml:space="preserve"> (spektrum jingga-merah) tanpa mempedulikan penurunan nilai </w:t>
      </w:r>
      <m:oMath xmlns:mml="http://www.w3.org/1998/Math/MathML">
        <m:r>
          <m:t>V</m:t>
        </m:r>
      </m:oMath>
      <w:r>
        <w:rPr>
          <w:rFonts w:ascii="Calibri" w:hAnsi="Calibri"/>
          <w:color w:val="2D3748"/>
          <w:sz w:val="22"/>
        </w:rPr>
        <w:t xml:space="preserve">, sehingga akurasi sortasi tetap stabil di atas </w:t>
      </w:r>
      <m:oMath xmlns:mml="http://www.w3.org/1998/Math/MathML">
        <m:r>
          <m:t>95%</m:t>
        </m:r>
      </m:oMath>
      <w:r>
        <w:rPr>
          <w:rFonts w:ascii="Calibri" w:hAnsi="Calibri"/>
          <w:color w:val="2D3748"/>
          <w:sz w:val="22"/>
        </w:rPr>
        <w:t xml:space="preserve"> sepanjang hari.</w:t>
      </w:r>
    </w:p>
    <w:p>
      <w:pPr>
        <w:keepNext/>
        <w:spacing w:before="200" w:after="40"/>
      </w:pPr>
      <w:r>
        <w:rPr>
          <w:rFonts w:ascii="Calibri" w:hAnsi="Calibri"/>
          <w:b/>
          <w:color w:val="2D3748"/>
          <w:sz w:val="24"/>
        </w:rPr>
        <w:t>2.6 Aspek Kritis &amp; Catatan Penting Arsitektur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Skala Nilai Hue pada OpenCV</w:t>
      </w:r>
      <w:r>
        <w:rPr>
          <w:rFonts w:ascii="Calibri" w:hAnsi="Calibri"/>
          <w:color w:val="2D3748"/>
          <w:sz w:val="22"/>
        </w:rPr>
        <w:t xml:space="preserve">: Secara teoritis, lingkaran warna Hue memiliki rentang derajat </w:t>
      </w:r>
      <m:oMath xmlns:mml="http://www.w3.org/1998/Math/MathML">
        <m:sSup>
          <m:e>
            <m:r>
              <m:t>0</m:t>
            </m:r>
          </m:e>
          <m:sup>
            <m:r>
              <m:t>∘</m:t>
            </m:r>
          </m:sup>
        </m:sSup>
        <m:r>
          <m:t>−</m:t>
        </m:r>
        <m:sSup>
          <m:e>
            <m:r>
              <m:t>360</m:t>
            </m:r>
          </m:e>
          <m:sup>
            <m:r>
              <m:t>∘</m:t>
            </m:r>
          </m:sup>
        </m:sSup>
      </m:oMath>
      <w:r>
        <w:rPr>
          <w:rFonts w:ascii="Calibri" w:hAnsi="Calibri"/>
          <w:color w:val="2D3748"/>
          <w:sz w:val="22"/>
        </w:rPr>
        <w:t xml:space="preserve">. Namun karena tipe data citra 8-bit hanya mampu menyimpan nilai maksimal 255, OpenCV membagi nilai derajat Hue dengan 2: </w:t>
      </w:r>
      <w:r>
        <w:rPr>
          <w:rFonts w:ascii="Calibri" w:hAnsi="Calibri"/>
          <w:b/>
          <w:color w:val="2D3748"/>
          <w:sz w:val="22"/>
        </w:rPr>
        <w:t>rentang Hue di OpenCV adalah $0 - 179$</w:t>
      </w:r>
      <w:r>
        <w:rPr>
          <w:rFonts w:ascii="Calibri" w:hAnsi="Calibri"/>
          <w:color w:val="2D3748"/>
          <w:sz w:val="22"/>
        </w:rPr>
        <w:t xml:space="preserve">, bukan </w:t>
      </w:r>
      <m:oMath xmlns:mml="http://www.w3.org/1998/Math/MathML">
        <m:r>
          <m:t>0−255</m:t>
        </m:r>
      </m:oMath>
      <w:r>
        <w:rPr>
          <w:rFonts w:ascii="Calibri" w:hAnsi="Calibri"/>
          <w:color w:val="2D3748"/>
          <w:sz w:val="22"/>
        </w:rPr>
        <w:t xml:space="preserve"> atau </w:t>
      </w:r>
      <m:oMath xmlns:mml="http://www.w3.org/1998/Math/MathML">
        <m:r>
          <m:t>0−360</m:t>
        </m:r>
      </m:oMath>
      <w:r>
        <w:rPr>
          <w:rFonts w:ascii="Calibri" w:hAnsi="Calibri"/>
          <w:color w:val="2D3748"/>
          <w:sz w:val="22"/>
        </w:rPr>
        <w:t>. Mengabaikan konvensi ini akan menyebabkan batas warna bergeser secara fatal.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Karakteristik Melingkar Warna Merah</w:t>
      </w:r>
      <w:r>
        <w:rPr>
          <w:rFonts w:ascii="Calibri" w:hAnsi="Calibri"/>
          <w:color w:val="2D3748"/>
          <w:sz w:val="22"/>
        </w:rPr>
        <w:t xml:space="preserve">: Warna merah murni berada di perbatasan </w:t>
      </w:r>
      <m:oMath xmlns:mml="http://www.w3.org/1998/Math/MathML">
        <m:sSup>
          <m:e>
            <m:r>
              <m:t>0</m:t>
            </m:r>
          </m:e>
          <m:sup>
            <m:r>
              <m:t>∘</m:t>
            </m:r>
          </m:sup>
        </m:sSup>
      </m:oMath>
      <w:r>
        <w:rPr>
          <w:rFonts w:ascii="Calibri" w:hAnsi="Calibri"/>
          <w:color w:val="2D3748"/>
          <w:sz w:val="22"/>
        </w:rPr>
        <w:t xml:space="preserve"> dan </w:t>
      </w:r>
      <m:oMath xmlns:mml="http://www.w3.org/1998/Math/MathML">
        <m:sSup>
          <m:e>
            <m:r>
              <m:t>360</m:t>
            </m:r>
          </m:e>
          <m:sup>
            <m:r>
              <m:t>∘</m:t>
            </m:r>
          </m:sup>
        </m:sSup>
      </m:oMath>
      <w:r>
        <w:rPr>
          <w:rFonts w:ascii="Calibri" w:hAnsi="Calibri"/>
          <w:color w:val="2D3748"/>
          <w:sz w:val="22"/>
        </w:rPr>
        <w:t xml:space="preserve">. Di OpenCV, spektrum merah terbagi menjadi dua interval: rentang </w:t>
      </w:r>
      <m:oMath xmlns:mml="http://www.w3.org/1998/Math/MathML">
        <m:r>
          <m:t>H∈[0,10]</m:t>
        </m:r>
      </m:oMath>
      <w:r>
        <w:rPr>
          <w:rFonts w:ascii="Calibri" w:hAnsi="Calibri"/>
          <w:color w:val="2D3748"/>
          <w:sz w:val="22"/>
        </w:rPr>
        <w:t xml:space="preserve"> dan </w:t>
      </w:r>
      <m:oMath xmlns:mml="http://www.w3.org/1998/Math/MathML">
        <m:r>
          <m:t>H∈[170,179]</m:t>
        </m:r>
      </m:oMath>
      <w:r>
        <w:rPr>
          <w:rFonts w:ascii="Calibri" w:hAnsi="Calibri"/>
          <w:color w:val="2D3748"/>
          <w:sz w:val="22"/>
        </w:rPr>
        <w:t>. Untuk mendeteksi buah sawit merah matang secara sempurna, diperlukan penggabungan dua masker (</w:t>
      </w:r>
      <w:r>
        <w:rPr>
          <w:rFonts w:ascii="Calibri" w:hAnsi="Calibri"/>
          <w:i/>
          <w:color w:val="2D3748"/>
          <w:sz w:val="22"/>
        </w:rPr>
        <w:t>bitwise OR</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3. Landasan Teori &amp; Konsep Matematis Konversi Warna</w:t>
      </w:r>
    </w:p>
    <w:p>
      <w:pPr>
        <w:spacing w:before="160" w:after="40"/>
        <w:jc w:val="center"/>
      </w:pPr>
      <w:r>
        <w:drawing>
          <wp:inline xmlns:a="http://schemas.openxmlformats.org/drawingml/2006/main" xmlns:pic="http://schemas.openxmlformats.org/drawingml/2006/picture">
            <wp:extent cx="5303520" cy="1704703"/>
            <wp:docPr id="2" name="Picture 2"/>
            <wp:cNvGraphicFramePr>
              <a:graphicFrameLocks noChangeAspect="1"/>
            </wp:cNvGraphicFramePr>
            <a:graphic>
              <a:graphicData uri="http://schemas.openxmlformats.org/drawingml/2006/picture">
                <pic:pic>
                  <pic:nvPicPr>
                    <pic:cNvPr id="0" name="diagram_konversi_ruang_warna_opencv_bgr_rgb_hsv_lab.png"/>
                    <pic:cNvPicPr/>
                  </pic:nvPicPr>
                  <pic:blipFill>
                    <a:blip r:embed="rId10"/>
                    <a:stretch>
                      <a:fillRect/>
                    </a:stretch>
                  </pic:blipFill>
                  <pic:spPr>
                    <a:xfrm>
                      <a:off x="0" y="0"/>
                      <a:ext cx="5303520" cy="1704703"/>
                    </a:xfrm>
                    <a:prstGeom prst="rect"/>
                  </pic:spPr>
                </pic:pic>
              </a:graphicData>
            </a:graphic>
          </wp:inline>
        </w:drawing>
      </w:r>
    </w:p>
    <w:p>
      <w:pPr>
        <w:spacing w:after="160"/>
        <w:jc w:val="center"/>
      </w:pPr>
      <w:r>
        <w:rPr>
          <w:rFonts w:ascii="Calibri" w:hAnsi="Calibri"/>
          <w:i/>
          <w:color w:val="718096"/>
          <w:sz w:val="18"/>
        </w:rPr>
        <w:t>Gambar: Diagram Konversi Ruang Warna OpenCV BGR RGB HSV LAB</w:t>
      </w:r>
    </w:p>
    <w:p>
      <w:pPr>
        <w:keepNext/>
        <w:spacing w:before="200" w:after="40"/>
      </w:pPr>
      <w:r>
        <w:rPr>
          <w:rFonts w:ascii="Calibri" w:hAnsi="Calibri"/>
          <w:b/>
          <w:color w:val="2D3748"/>
          <w:sz w:val="24"/>
        </w:rPr>
        <w:t>3.1 Formulasi Konversi BGR ke Grayscale</w:t>
      </w:r>
    </w:p>
    <w:p>
      <w:pPr>
        <w:spacing w:before="0" w:after="80" w:line="276" w:lineRule="auto"/>
      </w:pPr>
      <w:r>
        <w:rPr>
          <w:rFonts w:ascii="Calibri" w:hAnsi="Calibri"/>
          <w:color w:val="2D3748"/>
          <w:sz w:val="22"/>
        </w:rPr>
        <w:t xml:space="preserve">Konversi dari kanal BGR ke intensitas luminansi monokrom </w:t>
      </w:r>
      <m:oMath xmlns:mml="http://www.w3.org/1998/Math/MathML">
        <m:r>
          <m:t>Y</m:t>
        </m:r>
      </m:oMath>
      <w:r>
        <w:rPr>
          <w:rFonts w:ascii="Calibri" w:hAnsi="Calibri"/>
          <w:color w:val="2D3748"/>
          <w:sz w:val="22"/>
        </w:rPr>
        <w:t xml:space="preserve"> didasarkan pada kurva sensitivitas fotopik mata manusia terhadap panjang gelombang cahaya (standar ITU-R BT.601):</w:t>
      </w:r>
    </w:p>
    <w:p>
      <w:pPr>
        <w:spacing w:before="120" w:after="120"/>
        <w:jc w:val="center"/>
      </w:pPr>
      <m:oMath xmlns:mml="http://www.w3.org/1998/Math/MathML">
        <m:r>
          <m:t>Y=0.299·R+0.587·G+0.114·B</m:t>
        </m:r>
      </m:oMath>
    </w:p>
    <w:p>
      <w:pPr>
        <w:spacing w:before="0" w:after="80" w:line="276" w:lineRule="auto"/>
      </w:pPr>
      <w:r>
        <w:rPr>
          <w:rFonts w:ascii="Calibri" w:hAnsi="Calibri"/>
          <w:color w:val="2D3748"/>
          <w:sz w:val="22"/>
        </w:rPr>
        <w:t>Perhatikan bahwa bobot kanal hijau (</w:t>
      </w:r>
      <m:oMath xmlns:mml="http://www.w3.org/1998/Math/MathML">
        <m:r>
          <m:t>G</m:t>
        </m:r>
      </m:oMath>
      <w:r>
        <w:rPr>
          <w:rFonts w:ascii="Calibri" w:hAnsi="Calibri"/>
          <w:color w:val="2D3748"/>
          <w:sz w:val="22"/>
        </w:rPr>
        <w:t>) adalah yang paling dominan (</w:t>
      </w:r>
      <m:oMath xmlns:mml="http://www.w3.org/1998/Math/MathML">
        <m:r>
          <m:t>58.7%</m:t>
        </m:r>
      </m:oMath>
      <w:r>
        <w:rPr>
          <w:rFonts w:ascii="Calibri" w:hAnsi="Calibri"/>
          <w:color w:val="2D3748"/>
          <w:sz w:val="22"/>
        </w:rPr>
        <w:t>) karena reseptor mata manusia paling sensitif terhadap spektrum hijau, yang sangat menguntungkan untuk citra vegetasi perkebunan.</w:t>
      </w:r>
    </w:p>
    <w:p>
      <w:pPr>
        <w:keepNext/>
        <w:spacing w:before="200" w:after="40"/>
      </w:pPr>
      <w:r>
        <w:rPr>
          <w:rFonts w:ascii="Calibri" w:hAnsi="Calibri"/>
          <w:b/>
          <w:color w:val="2D3748"/>
          <w:sz w:val="24"/>
        </w:rPr>
        <w:t>3.2 Formulasi Konversi BGR ke HSV</w:t>
      </w:r>
    </w:p>
    <w:p>
      <w:pPr>
        <w:spacing w:before="0" w:after="80" w:line="276" w:lineRule="auto"/>
      </w:pPr>
      <w:r>
        <w:rPr>
          <w:rFonts w:ascii="Calibri" w:hAnsi="Calibri"/>
          <w:color w:val="2D3748"/>
          <w:sz w:val="22"/>
        </w:rPr>
        <w:t xml:space="preserve">Diberikan nilai piksel ternormalisasi </w:t>
      </w:r>
      <m:oMath xmlns:mml="http://www.w3.org/1998/Math/MathML">
        <m:r>
          <m:t>R,G,B∈[0,1]</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Tentukan nilai ekstrem:</w:t>
      </w:r>
    </w:p>
    <w:p>
      <w:pPr>
        <w:spacing w:before="120" w:after="120"/>
        <w:jc w:val="center"/>
      </w:pPr>
      <m:oMath xmlns:mml="http://www.w3.org/1998/Math/MathML">
        <m:r>
          <m:t>V=max(R,G,B),</m:t>
        </m:r>
        <m:r>
          <m:t>m=min(R,G,B),</m:t>
        </m:r>
        <m:r>
          <m:t>Δ=V−m</m:t>
        </m:r>
      </m:oMath>
    </w:p>
    <w:p>
      <w:pPr>
        <w:pStyle w:val="ListBullet"/>
        <w:spacing w:before="0" w:after="40" w:line="276" w:lineRule="auto"/>
        <w:ind w:left="360"/>
      </w:pPr>
      <w:r>
        <w:rPr>
          <w:rFonts w:ascii="Calibri" w:hAnsi="Calibri"/>
          <w:color w:val="2D3748"/>
          <w:sz w:val="22"/>
        </w:rPr>
        <w:t>Perhitungan Kejenuhan (</w:t>
      </w:r>
      <w:r>
        <w:rPr>
          <w:rFonts w:ascii="Calibri" w:hAnsi="Calibri"/>
          <w:i/>
          <w:color w:val="2D3748"/>
          <w:sz w:val="22"/>
        </w:rPr>
        <w:t>Saturation</w:t>
      </w:r>
      <w:r>
        <w:rPr>
          <w:rFonts w:ascii="Calibri" w:hAnsi="Calibri"/>
          <w:color w:val="2D3748"/>
          <w:sz w:val="22"/>
        </w:rPr>
        <w:t>):</w:t>
      </w:r>
    </w:p>
    <w:p>
      <w:pPr>
        <w:spacing w:before="120" w:after="120"/>
        <w:jc w:val="center"/>
      </w:pPr>
      <m:oMath xmlns:mml="http://www.w3.org/1998/Math/MathML">
        <m:r>
          <m:t>S=</m:t>
        </m:r>
        <m:r>
          <m:t>{</m:t>
        </m:r>
        <m:m>
          <m:mPr>
            <m:baseJc m:val="center"/>
            <m:plcHide m:val="on"/>
            <m:mcs>
              <m:mc>
                <m:mcPr>
                  <m:count m:val="2"/>
                  <m:mcJc m:val="center"/>
                </m:mcPr>
              </m:mc>
            </m:mcs>
          </m:mPr>
          <m:mr>
            <m:e>
              <m:r>
                <m:t>0,</m:t>
              </m:r>
            </m:e>
            <m:e>
              <m:r>
                <m:rPr>
                  <m:nor/>
                </m:rPr>
                <m:t>jika </m:t>
              </m:r>
              <m:r>
                <m:t>V=0</m:t>
              </m:r>
            </m:e>
          </m:mr>
          <m:mr>
            <m:e>
              <m:f>
                <m:fPr>
                  <m:type m:val="bar"/>
                </m:fPr>
                <m:num>
                  <m:r>
                    <m:t>Δ</m:t>
                  </m:r>
                </m:num>
                <m:den>
                  <m:r>
                    <m:t>V</m:t>
                  </m:r>
                </m:den>
              </m:f>
              <m:r>
                <m:t>,</m:t>
              </m:r>
            </m:e>
            <m:e>
              <m:r>
                <m:rPr>
                  <m:nor/>
                </m:rPr>
                <m:t>jika </m:t>
              </m:r>
              <m:r>
                <m:t>V&gt;0</m:t>
              </m:r>
            </m:e>
          </m:mr>
        </m:m>
      </m:oMath>
    </w:p>
    <w:p>
      <w:pPr>
        <w:pStyle w:val="ListBullet"/>
        <w:spacing w:before="0" w:after="40" w:line="276" w:lineRule="auto"/>
        <w:ind w:left="360"/>
      </w:pPr>
      <w:r>
        <w:rPr>
          <w:rFonts w:ascii="Calibri" w:hAnsi="Calibri"/>
          <w:color w:val="2D3748"/>
          <w:sz w:val="22"/>
        </w:rPr>
        <w:t>Perhitungan Corak Warna (</w:t>
      </w:r>
      <w:r>
        <w:rPr>
          <w:rFonts w:ascii="Calibri" w:hAnsi="Calibri"/>
          <w:i/>
          <w:color w:val="2D3748"/>
          <w:sz w:val="22"/>
        </w:rPr>
        <w:t>Hue</w:t>
      </w:r>
      <w:r>
        <w:rPr>
          <w:rFonts w:ascii="Calibri" w:hAnsi="Calibri"/>
          <w:color w:val="2D3748"/>
          <w:sz w:val="22"/>
        </w:rPr>
        <w:t>):</w:t>
      </w:r>
    </w:p>
    <w:p>
      <w:pPr>
        <w:spacing w:before="120" w:after="120"/>
        <w:jc w:val="center"/>
      </w:pPr>
      <w:r>
        <w:rPr>
          <w:rFonts w:ascii="Cambria Math" w:hAnsi="Cambria Math"/>
          <w:i/>
          <w:color w:val="1A365D"/>
          <w:sz w:val="24"/>
        </w:rPr>
        <w:t>H = \begin{cases} 0, &amp; \text{jika } \Delta = 0 \\ 60^\circ \times \left( \frac{G - B}{\Delta} \pmod 6 \right), &amp; \text{jika } V = R \\ 60^\circ \times \left( \frac{B - R}{\Delta} + 2 \right), &amp; \text{jika } V = G \\ 60^\circ \times \left( \frac{R - G}{\Delta} + 4 \right), &amp; \text{jika } V = B \end{cases}</w:t>
      </w:r>
    </w:p>
    <w:p>
      <w:pPr>
        <w:spacing w:before="0" w:after="80" w:line="276" w:lineRule="auto"/>
      </w:pPr>
      <w:r>
        <w:rPr>
          <w:rFonts w:ascii="Calibri" w:hAnsi="Calibri"/>
          <w:color w:val="2D3748"/>
          <w:sz w:val="22"/>
        </w:rPr>
        <w:t xml:space="preserve">Di dalam OpenCV, nilai </w:t>
      </w:r>
      <m:oMath xmlns:mml="http://www.w3.org/1998/Math/MathML">
        <m:r>
          <m:t>H</m:t>
        </m:r>
      </m:oMath>
      <w:r>
        <w:rPr>
          <w:rFonts w:ascii="Calibri" w:hAnsi="Calibri"/>
          <w:color w:val="2D3748"/>
          <w:sz w:val="22"/>
        </w:rPr>
        <w:t xml:space="preserve"> dalam derajat (</w:t>
      </w:r>
      <m:oMath xmlns:mml="http://www.w3.org/1998/Math/MathML">
        <m:r>
          <m:t>[</m:t>
        </m:r>
        <m:sSup>
          <m:e>
            <m:r>
              <m:t>0</m:t>
            </m:r>
          </m:e>
          <m:sup>
            <m:r>
              <m:t>∘</m:t>
            </m:r>
          </m:sup>
        </m:sSup>
        <m:r>
          <m:t>,</m:t>
        </m:r>
        <m:sSup>
          <m:e>
            <m:r>
              <m:t>360</m:t>
            </m:r>
          </m:e>
          <m:sup>
            <m:r>
              <m:t>∘</m:t>
            </m:r>
          </m:sup>
        </m:sSup>
        <m:r>
          <m:t>)</m:t>
        </m:r>
      </m:oMath>
      <w:r>
        <w:rPr>
          <w:rFonts w:ascii="Calibri" w:hAnsi="Calibri"/>
          <w:color w:val="2D3748"/>
          <w:sz w:val="22"/>
        </w:rPr>
        <w:t>) kemudian dipetakan ke integer 8-bit:</w:t>
      </w:r>
    </w:p>
    <w:p>
      <w:pPr>
        <w:spacing w:before="120" w:after="120"/>
        <w:jc w:val="center"/>
      </w:pPr>
      <w:r>
        <w:rPr>
          <w:rFonts w:ascii="Cambria Math" w:hAnsi="Cambria Math"/>
          <w:i/>
          <w:color w:val="1A365D"/>
          <w:sz w:val="24"/>
        </w:rPr>
        <w:t>H_{\text{OpenCV}} = \text{round}\left(\frac{H}{2}\right) \in [0, 179]</w:t>
      </w:r>
    </w:p>
    <w:p>
      <w:pPr>
        <w:spacing w:before="120" w:after="120"/>
        <w:jc w:val="center"/>
      </w:pPr>
      <m:oMath xmlns:mml="http://www.w3.org/1998/Math/MathML">
        <m:sSub>
          <m:e>
            <m:r>
              <m:t>S</m:t>
            </m:r>
          </m:e>
          <m:sub>
            <m:r>
              <m:rPr>
                <m:nor/>
              </m:rPr>
              <m:t>OpenCV</m:t>
            </m:r>
          </m:sub>
        </m:sSub>
        <m:r>
          <m:t>=</m:t>
        </m:r>
        <m:r>
          <m:rPr>
            <m:nor/>
          </m:rPr>
          <m:t>round</m:t>
        </m:r>
        <m:r>
          <m:t>(S×255)∈[0,255]</m:t>
        </m:r>
      </m:oMath>
    </w:p>
    <w:p>
      <w:pPr>
        <w:spacing w:before="120" w:after="120"/>
        <w:jc w:val="center"/>
      </w:pPr>
      <m:oMath xmlns:mml="http://www.w3.org/1998/Math/MathML">
        <m:sSub>
          <m:e>
            <m:r>
              <m:t>V</m:t>
            </m:r>
          </m:e>
          <m:sub>
            <m:r>
              <m:rPr>
                <m:nor/>
              </m:rPr>
              <m:t>OpenCV</m:t>
            </m:r>
          </m:sub>
        </m:sSub>
        <m:r>
          <m:t>=</m:t>
        </m:r>
        <m:r>
          <m:rPr>
            <m:nor/>
          </m:rPr>
          <m:t>round</m:t>
        </m:r>
        <m:r>
          <m:t>(V×255)∈[0,255]</m:t>
        </m:r>
      </m:oMath>
    </w:p>
    <w:p>
      <w:pPr>
        <w:spacing w:before="120" w:after="120"/>
      </w:pPr>
      <w:r>
        <w:rPr>
          <w:color w:val="CBD5E0"/>
          <w:sz w:val="16"/>
        </w:rPr>
        <w:t>―――――――――――――――――――――――――――――――――――――――――――――</w:t>
      </w:r>
    </w:p>
    <w:p>
      <w:pPr>
        <w:keepNext/>
        <w:spacing w:before="240" w:after="80"/>
      </w:pPr>
      <w:r>
        <w:rPr>
          <w:rFonts w:ascii="Calibri" w:hAnsi="Calibri"/>
          <w:b/>
          <w:color w:val="2B6CB0"/>
          <w:sz w:val="28"/>
        </w:rPr>
        <w:t>4. Arsitektur Komputasi &amp; Pipeline Praktis Python</w:t>
      </w:r>
    </w:p>
    <w:p>
      <w:pPr>
        <w:spacing w:before="160" w:after="40"/>
        <w:jc w:val="center"/>
      </w:pPr>
      <w:r>
        <w:drawing>
          <wp:inline xmlns:a="http://schemas.openxmlformats.org/drawingml/2006/main" xmlns:pic="http://schemas.openxmlformats.org/drawingml/2006/picture">
            <wp:extent cx="5029200" cy="17268723"/>
            <wp:docPr id="3" name="Picture 3"/>
            <wp:cNvGraphicFramePr>
              <a:graphicFrameLocks noChangeAspect="1"/>
            </wp:cNvGraphicFramePr>
            <a:graphic>
              <a:graphicData uri="http://schemas.openxmlformats.org/drawingml/2006/picture">
                <pic:pic>
                  <pic:nvPicPr>
                    <pic:cNvPr id="0" name="d2a25c9d2857e71ecb91cb2f33182d5b.png"/>
                    <pic:cNvPicPr/>
                  </pic:nvPicPr>
                  <pic:blipFill>
                    <a:blip r:embed="rId11"/>
                    <a:stretch>
                      <a:fillRect/>
                    </a:stretch>
                  </pic:blipFill>
                  <pic:spPr>
                    <a:xfrm>
                      <a:off x="0" y="0"/>
                      <a:ext cx="5029200" cy="17268723"/>
                    </a:xfrm>
                    <a:prstGeom prst="rect"/>
                  </pic:spPr>
                </pic:pic>
              </a:graphicData>
            </a:graphic>
          </wp:inline>
        </w:drawing>
      </w:r>
    </w:p>
    <w:p>
      <w:pPr>
        <w:spacing w:after="160"/>
        <w:jc w:val="center"/>
      </w:pPr>
      <w:r>
        <w:rPr>
          <w:rFonts w:ascii="Calibri" w:hAnsi="Calibri"/>
          <w:i/>
          <w:color w:val="718096"/>
          <w:sz w:val="18"/>
        </w:rPr>
        <w:t>Diagram Alir Konseptual (Visualisasi Mermaid)</w:t>
      </w:r>
    </w:p>
    <w:p>
      <w:pPr>
        <w:spacing w:before="0" w:after="80" w:line="276" w:lineRule="auto"/>
      </w:pPr>
      <w:r>
        <w:rPr>
          <w:rFonts w:ascii="Calibri" w:hAnsi="Calibri"/>
          <w:color w:val="2D3748"/>
          <w:sz w:val="22"/>
        </w:rPr>
        <w:t>Implementasi Python modular untuk segmentasi buah sawit matang (merah-oranye) berbasis HSV:</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cv2</w:t>
              <w:br/>
              <w:t>import numpy as np</w:t>
              <w:br/>
              <w:br/>
              <w:t># 1. Pembangkitan Citra Sintetis Tandan Buah Sawit Berbagai Fraksi Kematangan</w:t>
              <w:br/>
              <w:t>height, width = 400, 600</w:t>
              <w:br/>
              <w:t>image_bgr = np.full((height, width, 3), 50, dtype=np.uint8) # Background konveyor</w:t>
              <w:br/>
              <w:br/>
              <w:t># Buah Mentah (Hitam keunguan, H ~ 140, S ~ 50, V ~ 40)</w:t>
              <w:br/>
              <w:t>cv2.circle(image_bgr, (150, 200), 70, (40, 20, 30), -1)</w:t>
              <w:br/>
              <w:br/>
              <w:t># Buah Kurang Matang / Mengkal (Kuning kehijauan, BGR: (20, 180, 200))</w:t>
              <w:br/>
              <w:t>cv2.circle(image_bgr, (300, 200), 70, (20, 180, 200), -1)</w:t>
              <w:br/>
              <w:br/>
              <w:t># Buah Matang Sempurna (Jingga/Merah Terang, BGR: (15, 80, 230))</w:t>
              <w:br/>
              <w:t>cv2.circle(image_bgr, (450, 200), 70, (15, 80, 230), -1)</w:t>
              <w:br/>
              <w:br/>
              <w:t># 2. Konversi Ruang Warna ke HSV</w:t>
              <w:br/>
              <w:t>hsv_image = cv2.cvtColor(image_bgr, cv2.COLOR_BGR2HSV)</w:t>
              <w:br/>
              <w:br/>
              <w:t># 3. Penentuan Ambang Batas Warna Buah Matang (Merah-Jingga)</w:t>
              <w:br/>
              <w:t># Rentang 1: Jingga ke Merah Awal (H: 5 - 20)</w:t>
              <w:br/>
              <w:t>lower_ripe = np.array([5, 120, 100], dtype=np.uint8)</w:t>
              <w:br/>
              <w:t>upper_ripe = np.array([22, 255, 255], dtype=np.uint8)</w:t>
              <w:br/>
              <w:t>mask_ripe = cv2.inRange(hsv_image, lower_ripe, upper_ripe)</w:t>
              <w:br/>
              <w:br/>
              <w:t># 4. Operasi Masking Bitwise</w:t>
              <w:br/>
              <w:t>isolated_ripe = cv2.bitwise_and(image_bgr, image_bgr, mask=mask_ripe)</w:t>
              <w:br/>
              <w:br/>
              <w:t># 5. Penghitungan Rasio Luas Area Buah Matang</w:t>
              <w:br/>
              <w:t>total_pixels = height * width</w:t>
              <w:br/>
              <w:t>ripe_pixels = cv2.countNonZero(mask_ripe)</w:t>
              <w:br/>
              <w:t>persen_matang = (ripe_pixels / total_pixels) * 100</w:t>
              <w:br/>
              <w:br/>
              <w:t>print(f"Total Piksel Citra          : {total_pixels}")</w:t>
              <w:br/>
              <w:t>print(f"Piksel Buah Matang Terdeteksi: {ripe_pixels}")</w:t>
              <w:br/>
              <w:t>print(f"Persentase Area Matang      : {persen_matang:.2f}%")</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Komprehensif Agro-Industri: Segmentasi Kanopi Tajuk Sawit</w:t>
      </w:r>
    </w:p>
    <w:p>
      <w:pPr>
        <w:keepNext/>
        <w:spacing w:before="200" w:after="40"/>
      </w:pPr>
      <w:r>
        <w:rPr>
          <w:rFonts w:ascii="Calibri" w:hAnsi="Calibri"/>
          <w:b/>
          <w:color w:val="2D3748"/>
          <w:sz w:val="24"/>
        </w:rPr>
        <w:t>5.1 Spesifikasi Masalah</w:t>
      </w:r>
    </w:p>
    <w:p>
      <w:pPr>
        <w:spacing w:before="0" w:after="80" w:line="276" w:lineRule="auto"/>
      </w:pPr>
      <w:r>
        <w:rPr>
          <w:rFonts w:ascii="Calibri" w:hAnsi="Calibri"/>
          <w:color w:val="2D3748"/>
          <w:sz w:val="22"/>
        </w:rPr>
        <w:t>Dalam sensus pohon kelapa sawit menggunakan drone, kanopi pohon sawit hijau harus dipisahkan secara otomatis dari gulma, semak belukar, dan jalan tanah merah.</w:t>
      </w:r>
    </w:p>
    <w:p>
      <w:pPr>
        <w:keepNext/>
        <w:spacing w:before="200" w:after="40"/>
      </w:pPr>
      <w:r>
        <w:rPr>
          <w:rFonts w:ascii="Calibri" w:hAnsi="Calibri"/>
          <w:b/>
          <w:color w:val="2D3748"/>
          <w:sz w:val="24"/>
        </w:rPr>
        <w:t>5.2 Implementasi Segmentasi Kanopi Hijau Sehat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Rentang warna hijau vegetasi sawit pada HSV:</w:t>
              <w:br/>
              <w:t># Hue hijau: 35 hingga 85</w:t>
              <w:br/>
              <w:t>lower_green = np.array([35, 60, 40], dtype=np.uint8)</w:t>
              <w:br/>
              <w:t>upper_green = np.array([85, 255, 255], dtype=np.uint8)</w:t>
              <w:br/>
              <w:br/>
              <w:t># Masker tajuk pohon</w:t>
              <w:br/>
              <w:t>mask_canopy = cv2.inRange(hsv_image, lower_green, upper_green)</w:t>
              <w:br/>
              <w:br/>
              <w:t># Pembersihan derau menggunakan operasi morfologi opening</w:t>
              <w:br/>
              <w:t>kernel = cv2.getStructuringElement(cv2.MORPH_ELLIPSE, (5, 5))</w:t>
              <w:br/>
              <w:t>mask_clean = cv2.morphologyEx(mask_canopy, cv2.MORPH_OPEN, kernel)</w:t>
              <w:br/>
              <w:br/>
              <w:t>print(f"Piksel Kanopi Hijau Terdeteksi : {cv2.countNonZero(mask_clean)}")</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keepNext/>
        <w:spacing w:before="200" w:after="40"/>
      </w:pPr>
      <w:r>
        <w:rPr>
          <w:rFonts w:ascii="Calibri" w:hAnsi="Calibri"/>
          <w:b/>
          <w:color w:val="2D3748"/>
          <w:sz w:val="24"/>
        </w:rPr>
        <w:t>6.1 Kekeliruan Umum Metodologis (*Common Pitfalls*)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Mengabaikan Rentang Hue OpenCV $0 - 179$</w:t>
      </w:r>
      <w:r>
        <w:rPr>
          <w:rFonts w:ascii="Calibri" w:hAnsi="Calibri"/>
          <w:color w:val="2D3748"/>
          <w:sz w:val="22"/>
        </w:rPr>
        <w:t>: Memasukkan batas nilai Hue di atas 179 (misalnya 240 karena mengacu pada software grafis seperti Photoshop) akan menyebabkan galat modulo atau kegagalan deteksi warna target.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Hanya Menggunakan Satu Rentang untuk Warna Merah</w:t>
      </w:r>
      <w:r>
        <w:rPr>
          <w:rFonts w:ascii="Calibri" w:hAnsi="Calibri"/>
          <w:color w:val="2D3748"/>
          <w:sz w:val="22"/>
        </w:rPr>
        <w:t xml:space="preserve">: Mengabaikan fakta bahwa warna merah melintasi nilai </w:t>
      </w:r>
      <m:oMath xmlns:mml="http://www.w3.org/1998/Math/MathML">
        <m:sSup>
          <m:e>
            <m:r>
              <m:t>0</m:t>
            </m:r>
          </m:e>
          <m:sup>
            <m:r>
              <m:t>∘</m:t>
            </m:r>
          </m:sup>
        </m:sSup>
      </m:oMath>
      <w:r>
        <w:rPr>
          <w:rFonts w:ascii="Calibri" w:hAnsi="Calibri"/>
          <w:color w:val="2D3748"/>
          <w:sz w:val="22"/>
        </w:rPr>
        <w:t xml:space="preserve"> dan </w:t>
      </w:r>
      <m:oMath xmlns:mml="http://www.w3.org/1998/Math/MathML">
        <m:sSup>
          <m:e>
            <m:r>
              <m:t>360</m:t>
            </m:r>
          </m:e>
          <m:sup>
            <m:r>
              <m:t>∘</m:t>
            </m:r>
          </m:sup>
        </m:sSup>
      </m:oMath>
      <w:r>
        <w:rPr>
          <w:rFonts w:ascii="Calibri" w:hAnsi="Calibri"/>
          <w:color w:val="2D3748"/>
          <w:sz w:val="22"/>
        </w:rPr>
        <w:t xml:space="preserve"> sehingga hanya mendeteksi setengah spektrum warna merah.</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Mengabaikan Pengaruh Kejenuhan Rendah</w:t>
      </w:r>
      <w:r>
        <w:rPr>
          <w:rFonts w:ascii="Calibri" w:hAnsi="Calibri"/>
          <w:color w:val="2D3748"/>
          <w:sz w:val="22"/>
        </w:rPr>
        <w:t>: Pada piksel yang sangat gelap (</w:t>
      </w:r>
      <m:oMath xmlns:mml="http://www.w3.org/1998/Math/MathML">
        <m:r>
          <m:t>V&lt;30</m:t>
        </m:r>
      </m:oMath>
      <w:r>
        <w:rPr>
          <w:rFonts w:ascii="Calibri" w:hAnsi="Calibri"/>
          <w:color w:val="2D3748"/>
          <w:sz w:val="22"/>
        </w:rPr>
        <w:t>) atau sangat terang (</w:t>
      </w:r>
      <m:oMath xmlns:mml="http://www.w3.org/1998/Math/MathML">
        <m:r>
          <m:t>V&gt;240,S&lt;20</m:t>
        </m:r>
      </m:oMath>
      <w:r>
        <w:rPr>
          <w:rFonts w:ascii="Calibri" w:hAnsi="Calibri"/>
          <w:color w:val="2D3748"/>
          <w:sz w:val="22"/>
        </w:rPr>
        <w:t>), nilai Hue menjadi tidak stabil (</w:t>
      </w:r>
      <w:r>
        <w:rPr>
          <w:rFonts w:ascii="Calibri" w:hAnsi="Calibri"/>
          <w:i/>
          <w:color w:val="2D3748"/>
          <w:sz w:val="22"/>
        </w:rPr>
        <w:t>unstable chromaticity</w:t>
      </w:r>
      <w:r>
        <w:rPr>
          <w:rFonts w:ascii="Calibri" w:hAnsi="Calibri"/>
          <w:color w:val="2D3748"/>
          <w:sz w:val="22"/>
        </w:rPr>
        <w:t>).</w:t>
      </w:r>
    </w:p>
    <w:p>
      <w:pPr>
        <w:keepNext/>
        <w:spacing w:before="200" w:after="40"/>
      </w:pPr>
      <w:r>
        <w:rPr>
          <w:rFonts w:ascii="Calibri" w:hAnsi="Calibri"/>
          <w:b/>
          <w:color w:val="2D3748"/>
          <w:sz w:val="24"/>
        </w:rPr>
        <w:t>6.2 Praktik Terbaik (*Best Practices*)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Gabungkan Dua Rentang untuk Deteksi Merah</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mask1 = cv2.inRange(hsv, np.array([0, 70, 50]), np.array([10, 255, 255]))</w:t>
              <w:br/>
              <w:t xml:space="preserve">   mask2 = cv2.inRange(hsv, np.array([170, 70, 50]), np.array([179, 255, 255]))</w:t>
              <w:br/>
              <w:t xml:space="preserve">   mask_red = cv2.bitwise_or(mask1, mask2)</w:t>
            </w:r>
          </w:p>
        </w:tc>
      </w:tr>
    </w:tbl>
    <w:p>
      <w:pPr>
        <w:spacing w:after="80"/>
      </w:pP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Kombinasikan dengan Morfologi Spasial</w:t>
      </w:r>
      <w:r>
        <w:rPr>
          <w:rFonts w:ascii="Calibri" w:hAnsi="Calibri"/>
          <w:color w:val="2D3748"/>
          <w:sz w:val="22"/>
        </w:rPr>
        <w:t xml:space="preserve">: Selalu terapkan operasi </w:t>
      </w:r>
      <w:r>
        <w:rPr>
          <w:rFonts w:ascii="Consolas" w:hAnsi="Consolas"/>
          <w:color w:val="9C1A1A"/>
          <w:sz w:val="19"/>
        </w:rPr>
        <w:t>cv2.morphologyEx()</w:t>
      </w:r>
      <w:r>
        <w:rPr>
          <w:rFonts w:ascii="Calibri" w:hAnsi="Calibri"/>
          <w:color w:val="2D3748"/>
          <w:sz w:val="22"/>
        </w:rPr>
        <w:t xml:space="preserve"> tipe opening atau closing pada masker biner untuk menghilangkan derau bintik putih (</w:t>
      </w:r>
      <w:r>
        <w:rPr>
          <w:rFonts w:ascii="Calibri" w:hAnsi="Calibri"/>
          <w:i/>
          <w:color w:val="2D3748"/>
          <w:sz w:val="22"/>
        </w:rPr>
        <w:t>salt noise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Validasi Visual dengan Matplotlib</w:t>
      </w:r>
      <w:r>
        <w:rPr>
          <w:rFonts w:ascii="Calibri" w:hAnsi="Calibri"/>
          <w:color w:val="2D3748"/>
          <w:sz w:val="22"/>
        </w:rPr>
        <w:t xml:space="preserve">: Selalu konversi BGR ke RGB menggunakan </w:t>
      </w:r>
      <w:r>
        <w:rPr>
          <w:rFonts w:ascii="Consolas" w:hAnsi="Consolas"/>
          <w:color w:val="9C1A1A"/>
          <w:sz w:val="19"/>
        </w:rPr>
        <w:t>cv2.cvtColor(img, cv2.COLOR_BGR2RGB)</w:t>
      </w:r>
      <w:r>
        <w:rPr>
          <w:rFonts w:ascii="Calibri" w:hAnsi="Calibri"/>
          <w:color w:val="2D3748"/>
          <w:sz w:val="22"/>
        </w:rPr>
        <w:t xml:space="preserve"> sebelum menampilkannya pada Matplotlib.</w:t>
      </w:r>
    </w:p>
    <w:p>
      <w:pPr>
        <w:spacing w:before="120" w:after="120"/>
      </w:pPr>
      <w:r>
        <w:rPr>
          <w:color w:val="CBD5E0"/>
          <w:sz w:val="16"/>
        </w:rPr>
        <w:t>―――――――――――――――――――――――――――――――――――――――――――――</w:t>
      </w:r>
    </w:p>
    <w:p>
      <w:pPr>
        <w:keepNext/>
        <w:spacing w:before="240" w:after="80"/>
      </w:pPr>
      <w:r>
        <w:rPr>
          <w:rFonts w:ascii="Calibri" w:hAnsi="Calibri"/>
          <w:b/>
          <w:color w:val="2B6CB0"/>
          <w:sz w:val="28"/>
        </w:rPr>
        <w:t>7. Rangkuman Modul</w:t>
      </w:r>
    </w:p>
    <w:p>
      <w:pPr>
        <w:pStyle w:val="ListBullet"/>
        <w:spacing w:before="0" w:after="40" w:line="276" w:lineRule="auto"/>
        <w:ind w:left="360"/>
      </w:pPr>
      <w:r>
        <w:rPr>
          <w:rFonts w:ascii="Calibri" w:hAnsi="Calibri"/>
          <w:color w:val="2D3748"/>
          <w:sz w:val="22"/>
        </w:rPr>
        <w:t>Ruang warna BGR adalah representasi standar penangkap sensor kamera digital, sedangkan Grayscale merefleksikan intensitas radiasi monokrom.</w:t>
      </w:r>
    </w:p>
    <w:p>
      <w:pPr>
        <w:pStyle w:val="ListBullet"/>
        <w:spacing w:before="0" w:after="40" w:line="276" w:lineRule="auto"/>
        <w:ind w:left="360"/>
      </w:pPr>
      <w:r>
        <w:rPr>
          <w:rFonts w:ascii="Calibri" w:hAnsi="Calibri"/>
          <w:color w:val="2D3748"/>
          <w:sz w:val="22"/>
        </w:rPr>
        <w:t>Ruang warna HSV memisahkan corak warna (</w:t>
      </w:r>
      <w:r>
        <w:rPr>
          <w:rFonts w:ascii="Calibri" w:hAnsi="Calibri"/>
          <w:i/>
          <w:color w:val="2D3748"/>
          <w:sz w:val="22"/>
        </w:rPr>
        <w:t>Hue</w:t>
      </w:r>
      <w:r>
        <w:rPr>
          <w:rFonts w:ascii="Calibri" w:hAnsi="Calibri"/>
          <w:color w:val="2D3748"/>
          <w:sz w:val="22"/>
        </w:rPr>
        <w:t>), kejenuhan (</w:t>
      </w:r>
      <w:r>
        <w:rPr>
          <w:rFonts w:ascii="Calibri" w:hAnsi="Calibri"/>
          <w:i/>
          <w:color w:val="2D3748"/>
          <w:sz w:val="22"/>
        </w:rPr>
        <w:t>Saturation</w:t>
      </w:r>
      <w:r>
        <w:rPr>
          <w:rFonts w:ascii="Calibri" w:hAnsi="Calibri"/>
          <w:color w:val="2D3748"/>
          <w:sz w:val="22"/>
        </w:rPr>
        <w:t>), dan intensitas cahaya (</w:t>
      </w:r>
      <w:r>
        <w:rPr>
          <w:rFonts w:ascii="Calibri" w:hAnsi="Calibri"/>
          <w:i/>
          <w:color w:val="2D3748"/>
          <w:sz w:val="22"/>
        </w:rPr>
        <w:t>Value</w:t>
      </w:r>
      <w:r>
        <w:rPr>
          <w:rFonts w:ascii="Calibri" w:hAnsi="Calibri"/>
          <w:color w:val="2D3748"/>
          <w:sz w:val="22"/>
        </w:rPr>
        <w:t>), menjadikannya ruang warna optimal untuk segmentasi objek perkebunan di bawah sinar matahari dinamis.</w:t>
      </w:r>
    </w:p>
    <w:p>
      <w:pPr>
        <w:pStyle w:val="ListBullet"/>
        <w:spacing w:before="0" w:after="40" w:line="276" w:lineRule="auto"/>
        <w:ind w:left="360"/>
      </w:pPr>
      <w:r>
        <w:rPr>
          <w:rFonts w:ascii="Calibri" w:hAnsi="Calibri"/>
          <w:color w:val="2D3748"/>
          <w:sz w:val="22"/>
        </w:rPr>
        <w:t xml:space="preserve">OpenCV menetapkan rentang Hue sebesar </w:t>
      </w:r>
      <m:oMath xmlns:mml="http://www.w3.org/1998/Math/MathML">
        <m:r>
          <m:t>0−179</m:t>
        </m:r>
      </m:oMath>
      <w:r>
        <w:rPr>
          <w:rFonts w:ascii="Calibri" w:hAnsi="Calibri"/>
          <w:color w:val="2D3748"/>
          <w:sz w:val="22"/>
        </w:rPr>
        <w:t xml:space="preserve"> untuk mengakomodasi representasi integer tak bertanda 8-bit.</w:t>
      </w:r>
    </w:p>
    <w:p>
      <w:pPr>
        <w:pStyle w:val="ListBullet"/>
        <w:spacing w:before="0" w:after="40" w:line="276" w:lineRule="auto"/>
        <w:ind w:left="360"/>
      </w:pPr>
      <w:r>
        <w:rPr>
          <w:rFonts w:ascii="Calibri" w:hAnsi="Calibri"/>
          <w:color w:val="2D3748"/>
          <w:sz w:val="22"/>
        </w:rPr>
        <w:t xml:space="preserve">Segmentasi warna berbasis </w:t>
      </w:r>
      <w:r>
        <w:rPr>
          <w:rFonts w:ascii="Consolas" w:hAnsi="Consolas"/>
          <w:color w:val="9C1A1A"/>
          <w:sz w:val="19"/>
        </w:rPr>
        <w:t>cv2.inRange()</w:t>
      </w:r>
      <w:r>
        <w:rPr>
          <w:rFonts w:ascii="Calibri" w:hAnsi="Calibri"/>
          <w:color w:val="2D3748"/>
          <w:sz w:val="22"/>
        </w:rPr>
        <w:t xml:space="preserve"> dan </w:t>
      </w:r>
      <w:r>
        <w:rPr>
          <w:rFonts w:ascii="Consolas" w:hAnsi="Consolas"/>
          <w:color w:val="9C1A1A"/>
          <w:sz w:val="19"/>
        </w:rPr>
        <w:t>cv2.bitwise_and()</w:t>
      </w:r>
      <w:r>
        <w:rPr>
          <w:rFonts w:ascii="Calibri" w:hAnsi="Calibri"/>
          <w:color w:val="2D3748"/>
          <w:sz w:val="22"/>
        </w:rPr>
        <w:t xml:space="preserve"> memberikan solusi pemilahan objek berkecepatan sangat tinggi tanpa memerlukan inferensi deep learning yang berat.</w:t>
      </w:r>
    </w:p>
    <w:p>
      <w:pPr>
        <w:spacing w:before="120" w:after="120"/>
      </w:pPr>
      <w:r>
        <w:rPr>
          <w:color w:val="CBD5E0"/>
          <w:sz w:val="16"/>
        </w:rPr>
        <w:t>―――――――――――――――――――――――――――――――――――――――――――――</w:t>
      </w:r>
    </w:p>
    <w:p>
      <w:pPr>
        <w:keepNext/>
        <w:spacing w:before="240" w:after="80"/>
      </w:pPr>
      <w:r>
        <w:rPr>
          <w:rFonts w:ascii="Calibri" w:hAnsi="Calibri"/>
          <w:b/>
          <w:color w:val="2B6CB0"/>
          <w:sz w:val="28"/>
        </w:rPr>
        <w:t>8. Latihan Soal &amp; Tugas Analitis HOTS (Bloom C3-C5)</w:t>
      </w:r>
    </w:p>
    <w:p>
      <w:pPr>
        <w:keepNext/>
        <w:spacing w:before="200" w:after="40"/>
      </w:pPr>
      <w:r>
        <w:rPr>
          <w:rFonts w:ascii="Calibri" w:hAnsi="Calibri"/>
          <w:b/>
          <w:color w:val="2D3748"/>
          <w:sz w:val="24"/>
        </w:rPr>
        <w:t>Soal Konseptual &amp; Analitis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Sensitivitas Fotometrik (Bloom C3)</w:t>
      </w:r>
      <w:r>
        <w:rPr>
          <w:rFonts w:ascii="Calibri" w:hAnsi="Calibri"/>
          <w:color w:val="2D3748"/>
          <w:sz w:val="22"/>
        </w:rPr>
        <w:t xml:space="preserve">: Rumus konversi luminansi adalah </w:t>
      </w:r>
      <m:oMath xmlns:mml="http://www.w3.org/1998/Math/MathML">
        <m:r>
          <m:t>Y=0.299R+0.587G+0.114B</m:t>
        </m:r>
      </m:oMath>
      <w:r>
        <w:rPr>
          <w:rFonts w:ascii="Calibri" w:hAnsi="Calibri"/>
          <w:color w:val="2D3748"/>
          <w:sz w:val="22"/>
        </w:rPr>
        <w:t>. Jelaskan mengapa bobot kanal hijau (</w:t>
      </w:r>
      <m:oMath xmlns:mml="http://www.w3.org/1998/Math/MathML">
        <m:r>
          <m:t>G</m:t>
        </m:r>
      </m:oMath>
      <w:r>
        <w:rPr>
          <w:rFonts w:ascii="Calibri" w:hAnsi="Calibri"/>
          <w:color w:val="2D3748"/>
          <w:sz w:val="22"/>
        </w:rPr>
        <w:t>) diberikan nilai paling tinggi (</w:t>
      </w:r>
      <m:oMath xmlns:mml="http://www.w3.org/1998/Math/MathML">
        <m:r>
          <m:t>0.587</m:t>
        </m:r>
      </m:oMath>
      <w:r>
        <w:rPr>
          <w:rFonts w:ascii="Calibri" w:hAnsi="Calibri"/>
          <w:color w:val="2D3748"/>
          <w:sz w:val="22"/>
        </w:rPr>
        <w:t>)? Bagaimana implikasi bobot ini terhadap deteksi bercak penyakit daun kuning pada citra grayscale?</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Evaluasi Pemilihan Ruang Warna (Bloom C4)</w:t>
      </w:r>
      <w:r>
        <w:rPr>
          <w:rFonts w:ascii="Calibri" w:hAnsi="Calibri"/>
          <w:color w:val="2D3748"/>
          <w:sz w:val="22"/>
        </w:rPr>
        <w:t>: Pada perkebunan kelapa sawit, kamera drone mengambil foto kanopi pada pukul 07.00 pagi (cahaya redup kemerahan) dan pukul 12.00 siang (cahaya terik). Jelaskan secara analitis mengapa segmentasi daun hijau menggunakan ambang batas pada ruang warna BGR akan mengalami kegagalan fatal pada salah satu waktu tersebut, sedangkan ruang warna HSV mampu mempertahankan akurasi!</w:t>
      </w:r>
    </w:p>
    <w:p>
      <w:pPr>
        <w:keepNext/>
        <w:spacing w:before="200" w:after="40"/>
      </w:pPr>
      <w:r>
        <w:rPr>
          <w:rFonts w:ascii="Calibri" w:hAnsi="Calibri"/>
          <w:b/>
          <w:color w:val="2D3748"/>
          <w:sz w:val="24"/>
        </w:rPr>
        <w:t>Tugas Pemrograman Mandiri</w:t>
      </w:r>
    </w:p>
    <w:p>
      <w:pPr>
        <w:spacing w:before="0" w:after="80" w:line="276" w:lineRule="auto"/>
      </w:pPr>
      <w:r>
        <w:rPr>
          <w:rFonts w:ascii="Calibri" w:hAnsi="Calibri"/>
          <w:color w:val="2D3748"/>
          <w:sz w:val="22"/>
        </w:rPr>
        <w:t xml:space="preserve">Buatlah skrip Python yang menerima citra daun kelapa sawit dan secara otomatis menghasilkan 4 panel visualisasi berdampingan: (1) Citra Asli RGB, (2) Kanal Hue (HSV), (3) Masker Biner Daun Sehat, dan (4) Masker Biner Area Klorosis/Kuning. Hitung rasio keparahan klorosis sebagai </w:t>
      </w:r>
      <m:oMath xmlns:mml="http://www.w3.org/1998/Math/MathML">
        <m:f>
          <m:fPr>
            <m:type m:val="bar"/>
          </m:fPr>
          <m:num>
            <m:r>
              <m:rPr>
                <m:nor/>
              </m:rPr>
              <m:t>Piksel Kuning</m:t>
            </m:r>
          </m:num>
          <m:den>
            <m:r>
              <m:rPr>
                <m:nor/>
              </m:rPr>
              <m:t>Total Piksel Daun</m:t>
            </m:r>
          </m:den>
        </m:f>
        <m:r>
          <m:t>×100%</m:t>
        </m:r>
      </m:oMath>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9. Jembatan Konsep (Bridging) ke AI Modul 11.4: Thresholding</w:t>
      </w:r>
    </w:p>
    <w:p>
      <w:pPr>
        <w:spacing w:before="0" w:after="80" w:line="276" w:lineRule="auto"/>
      </w:pPr>
      <w:r>
        <w:rPr>
          <w:rFonts w:ascii="Calibri" w:hAnsi="Calibri"/>
          <w:color w:val="2D3748"/>
          <w:sz w:val="22"/>
        </w:rPr>
        <w:t>Kita telah menguasai cara mengonversi ruang warna dan mengekstrak masker biner menggunakan ambang batas rentang warna HSV. Namun, bagaimana jika kita ingin mengubah citra grayscale menjadi citra biner hitam-putih secara otomatis tanpa perlu menentukan nilai ambang batas secara manual? Bagaimana jika intensitas cahaya di atas kanopi tidak merata akibat gradien bayangan tajuk pohon?</w:t>
      </w:r>
    </w:p>
    <w:p>
      <w:pPr>
        <w:spacing w:before="0" w:after="80" w:line="276" w:lineRule="auto"/>
      </w:pPr>
      <w:r>
        <w:rPr>
          <w:rFonts w:ascii="Calibri" w:hAnsi="Calibri"/>
          <w:color w:val="2D3748"/>
          <w:sz w:val="22"/>
        </w:rPr>
        <w:t xml:space="preserve">Pada </w:t>
      </w:r>
      <w:r>
        <w:rPr>
          <w:rFonts w:ascii="Calibri" w:hAnsi="Calibri"/>
          <w:b/>
          <w:color w:val="2D3748"/>
          <w:sz w:val="22"/>
        </w:rPr>
        <w:t>AI Modul 11.4: Thresholding</w:t>
      </w:r>
      <w:r>
        <w:rPr>
          <w:rFonts w:ascii="Calibri" w:hAnsi="Calibri"/>
          <w:color w:val="2D3748"/>
          <w:sz w:val="22"/>
        </w:rPr>
        <w:t xml:space="preserve">, kita akan mempelajari secara mendalam berbagai teknik penambangan biner: </w:t>
      </w:r>
      <w:r>
        <w:rPr>
          <w:rFonts w:ascii="Calibri" w:hAnsi="Calibri"/>
          <w:b/>
          <w:color w:val="2D3748"/>
          <w:sz w:val="22"/>
        </w:rPr>
        <w:t>Simple Global Thresholding</w:t>
      </w:r>
      <w:r>
        <w:rPr>
          <w:rFonts w:ascii="Calibri" w:hAnsi="Calibri"/>
          <w:color w:val="2D3748"/>
          <w:sz w:val="22"/>
        </w:rPr>
        <w:t xml:space="preserve">, algoritma optimasi varians intra-kelas </w:t>
      </w:r>
      <w:r>
        <w:rPr>
          <w:rFonts w:ascii="Calibri" w:hAnsi="Calibri"/>
          <w:b/>
          <w:color w:val="2D3748"/>
          <w:sz w:val="22"/>
        </w:rPr>
        <w:t>Otsu's Thresholding</w:t>
      </w:r>
      <w:r>
        <w:rPr>
          <w:rFonts w:ascii="Calibri" w:hAnsi="Calibri"/>
          <w:color w:val="2D3748"/>
          <w:sz w:val="22"/>
        </w:rPr>
        <w:t xml:space="preserve">, serta teknik </w:t>
      </w:r>
      <w:r>
        <w:rPr>
          <w:rFonts w:ascii="Calibri" w:hAnsi="Calibri"/>
          <w:b/>
          <w:color w:val="2D3748"/>
          <w:sz w:val="22"/>
        </w:rPr>
        <w:t>Adaptive Thresholding</w:t>
      </w:r>
      <w:r>
        <w:rPr>
          <w:rFonts w:ascii="Calibri" w:hAnsi="Calibri"/>
          <w:color w:val="2D3748"/>
          <w:sz w:val="22"/>
        </w:rPr>
        <w:t xml:space="preserve"> (Mean &amp; Gaussian) yang secara dinamis menghitung ambang batas lokal per jendela lingkungan piksel.</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Gonzalez, R. C., &amp; Woods, R. E. (2018). </w:t>
      </w:r>
      <w:r>
        <w:rPr>
          <w:rFonts w:ascii="Calibri" w:hAnsi="Calibri"/>
          <w:i/>
          <w:color w:val="2D3748"/>
          <w:sz w:val="22"/>
        </w:rPr>
        <w:t>Digital Image Processing</w:t>
      </w:r>
      <w:r>
        <w:rPr>
          <w:rFonts w:ascii="Calibri" w:hAnsi="Calibri"/>
          <w:color w:val="2D3748"/>
          <w:sz w:val="22"/>
        </w:rPr>
        <w:t xml:space="preserve"> (4th ed.). Pearson. (Bab 6: Color Image Processing).</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Bradski, G., &amp; Kaehler, A. (2008). </w:t>
      </w:r>
      <w:r>
        <w:rPr>
          <w:rFonts w:ascii="Calibri" w:hAnsi="Calibri"/>
          <w:i/>
          <w:color w:val="2D3748"/>
          <w:sz w:val="22"/>
        </w:rPr>
        <w:t>Learning OpenCV: Computer Vision with the OpenCV Library</w:t>
      </w:r>
      <w:r>
        <w:rPr>
          <w:rFonts w:ascii="Calibri" w:hAnsi="Calibri"/>
          <w:color w:val="2D3748"/>
          <w:sz w:val="22"/>
        </w:rPr>
        <w:t>. O'Reilly Media.</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Szeliski, R. (2022). </w:t>
      </w:r>
      <w:r>
        <w:rPr>
          <w:rFonts w:ascii="Calibri" w:hAnsi="Calibri"/>
          <w:i/>
          <w:color w:val="2D3748"/>
          <w:sz w:val="22"/>
        </w:rPr>
        <w:t>Computer Vision: Algorithms and Applications</w:t>
      </w:r>
      <w:r>
        <w:rPr>
          <w:rFonts w:ascii="Calibri" w:hAnsi="Calibri"/>
          <w:color w:val="2D3748"/>
          <w:sz w:val="22"/>
        </w:rPr>
        <w:t xml:space="preserve"> (2nd ed.). Springer.</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Septiarini, A., Sunyoto, A., Hamdani, H., Kasim, A. A., &amp; Utaminingrum, F. (2020). Machine vision-based greenness grading of oil palm fresh fruit bunches. </w:t>
      </w:r>
      <w:r>
        <w:rPr>
          <w:rFonts w:ascii="Calibri" w:hAnsi="Calibri"/>
          <w:i/>
          <w:color w:val="2D3748"/>
          <w:sz w:val="22"/>
        </w:rPr>
        <w:t>International Journal of Intelligent Engineering and Systems</w:t>
      </w:r>
      <w:r>
        <w:rPr>
          <w:rFonts w:ascii="Calibri" w:hAnsi="Calibri"/>
          <w:color w:val="2D3748"/>
          <w:sz w:val="22"/>
        </w:rPr>
        <w:t>, 13(4), 406-417.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