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12.4: Transfer Learning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12.4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11.9 (Real-time Camera Processing) / Visi Komputer Dasar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C3 (Menerapkan), C4 (Menganalisis), C5 (Mengevaluasi)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d70caef53d0263e44415580eef3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Memahami fondasi teoretis domain adaptation, covariate shift, dan mitigasi fenomena catastrophic forgetting.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Menguasai dua strategi utama Transfer Learning: Feature Extraction (pembekuan bobot) dan Fine-Tuning (penyesuaian bertahap).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Menerapkan skema Differential Learning Rates (laju pembelajaran diskriminatif) berbasis PyTorch parameter groups.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Membangun model transfer learning untuk deteksi defisiensi unsur hara makro/mikro pada daun bibit kelapa sawit dengan dataset terbatas.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Dokumen rancangan arsitektur pemrosesan visual dan spesifikasi parameter model Transfer Learning.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modular tervalidasi menggunakan PyTorch/OpenCV yang siap diuji di lapangan.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metrik evaluasi kinerja (akurasi, mAP, latensi inferensi, dan konsumsi memori aktivasi).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Penguasaan mendalam terhadap formulasi matematika dan mekanisme konvolusi/deteksi objek visual.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analitis dalam memilih konfigurasi hyperparameter dan arsitektur model sesuai batasan sumber daya perangkat keras edge.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Keterampilan mengidentifikasi dan memitigasi potensi kegagalan sistem visual pada kondisi lapangan heterogen.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Terwujudnya sistem otomasi inspeksi dan monitoring perkebunan yang adaptif, berkinerja tinggi, dan efisien biaya operasional.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Menjadi pijakan kokoh untuk riset dan implementasi kecerdasan buatan terapan berskala komersial di sektor kelapa sawit dan pertanian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1.0 Orientasi Konsep &amp; Urgensi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aplikasi praktis visi komputer di industri agrokompleks, kehutanan, dan perkebunan, kendala terbesar bukanlah ketiadaan arsitektur model canggih, melainkan kelangkaan data beranotasi berkualitas tinggi (</w:t>
      </w:r>
      <w:r>
        <w:rPr>
          <w:rFonts w:ascii="Calibri" w:hAnsi="Calibri"/>
          <w:i/>
          <w:color w:val="2D3748"/>
          <w:sz w:val="22"/>
        </w:rPr>
        <w:t>annotated data scarcity</w:t>
      </w:r>
      <w:r>
        <w:rPr>
          <w:rFonts w:ascii="Calibri" w:hAnsi="Calibri"/>
          <w:color w:val="2D3748"/>
          <w:sz w:val="22"/>
        </w:rPr>
        <w:t>). Melatih arsitektur dalam seperti ResNet-50 dari inisialisasi bobot acak (</w:t>
      </w:r>
      <w:r>
        <w:rPr>
          <w:rFonts w:ascii="Calibri" w:hAnsi="Calibri"/>
          <w:i/>
          <w:color w:val="2D3748"/>
          <w:sz w:val="22"/>
        </w:rPr>
        <w:t>from scratch</w:t>
      </w:r>
      <w:r>
        <w:rPr>
          <w:rFonts w:ascii="Calibri" w:hAnsi="Calibri"/>
          <w:color w:val="2D3748"/>
          <w:sz w:val="22"/>
        </w:rPr>
        <w:t>) menuntut ratusan ribu hingga jutaan citra teranotasi dan daya komputasi klaster GPU berbiaya sangat tinggi. Jika dipaksakan pada dataset kecil (</w:t>
      </w:r>
      <m:oMath xmlns:mml="http://www.w3.org/1998/Math/MathML">
        <m:r>
          <m:t>&lt;1.000</m:t>
        </m:r>
      </m:oMath>
      <w:r>
        <w:rPr>
          <w:rFonts w:ascii="Calibri" w:hAnsi="Calibri"/>
          <w:color w:val="2D3748"/>
          <w:sz w:val="22"/>
        </w:rPr>
        <w:t xml:space="preserve"> sampel), model akan mengalami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 fatal: menghafal sampel latih alih-alih mempelajari pola visual esensial.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Transfer Learning</w:t>
      </w:r>
      <w:r>
        <w:rPr>
          <w:rFonts w:ascii="Calibri" w:hAnsi="Calibri"/>
          <w:color w:val="2D3748"/>
          <w:sz w:val="22"/>
        </w:rPr>
        <w:t xml:space="preserve"> merevolusi lanskap ini melalui transfer pengetahuan induktif (</w:t>
      </w:r>
      <w:r>
        <w:rPr>
          <w:rFonts w:ascii="Calibri" w:hAnsi="Calibri"/>
          <w:i/>
          <w:color w:val="2D3748"/>
          <w:sz w:val="22"/>
        </w:rPr>
        <w:t>inductive knowledge transfer</w:t>
      </w:r>
      <w:r>
        <w:rPr>
          <w:rFonts w:ascii="Calibri" w:hAnsi="Calibri"/>
          <w:color w:val="2D3748"/>
          <w:sz w:val="22"/>
        </w:rPr>
        <w:t>). Model yang telah dilatih secara masif pada dataset berskala besar (seperti ImageNet dengan 1,2 juta citra dan 1.000 kelas) telah menginternalisasi filter representasi visual universal pada lapisan-lapisan awalnya—seperti detektor tepi Gabor, tekstur permukaan, kurvatur, dan relasi spasial dasar. Representasi kaya ini dapat ditransfer untuk menyelesaikan tugas-tugas visual spesifik domain baru dengan hanya membutuhkan puluhan hingga ratusan sampel citra per kelas.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Fondasi Teori &amp; Matematika Mendalam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Formulasi Matematis Transfer Learning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formal, sebuah domain </w:t>
      </w:r>
      <m:oMath xmlns:mml="http://www.w3.org/1998/Math/MathML">
        <m:r>
          <m:t>𝒟</m:t>
        </m:r>
      </m:oMath>
      <w:r>
        <w:rPr>
          <w:rFonts w:ascii="Calibri" w:hAnsi="Calibri"/>
          <w:color w:val="2D3748"/>
          <w:sz w:val="22"/>
        </w:rPr>
        <w:t xml:space="preserve"> didefinisikan oleh ruang fitur </w:t>
      </w:r>
      <m:oMath xmlns:mml="http://www.w3.org/1998/Math/MathML">
        <m:r>
          <m:t>𝒳</m:t>
        </m:r>
      </m:oMath>
      <w:r>
        <w:rPr>
          <w:rFonts w:ascii="Calibri" w:hAnsi="Calibri"/>
          <w:color w:val="2D3748"/>
          <w:sz w:val="22"/>
        </w:rPr>
        <w:t xml:space="preserve"> dan distribusi probabilitas marginal </w:t>
      </w:r>
      <m:oMath xmlns:mml="http://www.w3.org/1998/Math/MathML">
        <m:r>
          <m:t>P(X)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𝒟={𝒳,P(X)},</m:t>
        </m:r>
        <m:r>
          <m:t>X={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}∈𝒳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tugas (</w:t>
      </w:r>
      <w:r>
        <w:rPr>
          <w:rFonts w:ascii="Calibri" w:hAnsi="Calibri"/>
          <w:i/>
          <w:color w:val="2D3748"/>
          <w:sz w:val="22"/>
        </w:rPr>
        <w:t>task</w:t>
      </w:r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r>
          <m:t>𝒯</m:t>
        </m:r>
      </m:oMath>
      <w:r>
        <w:rPr>
          <w:rFonts w:ascii="Calibri" w:hAnsi="Calibri"/>
          <w:color w:val="2D3748"/>
          <w:sz w:val="22"/>
        </w:rPr>
        <w:t xml:space="preserve"> pada domain </w:t>
      </w:r>
      <m:oMath xmlns:mml="http://www.w3.org/1998/Math/MathML">
        <m:r>
          <m:t>𝒟</m:t>
        </m:r>
      </m:oMath>
      <w:r>
        <w:rPr>
          <w:rFonts w:ascii="Calibri" w:hAnsi="Calibri"/>
          <w:color w:val="2D3748"/>
          <w:sz w:val="22"/>
        </w:rPr>
        <w:t xml:space="preserve"> terdiri atas ruang label </w:t>
      </w:r>
      <m:oMath xmlns:mml="http://www.w3.org/1998/Math/MathML">
        <m:r>
          <m:t>𝒴</m:t>
        </m:r>
      </m:oMath>
      <w:r>
        <w:rPr>
          <w:rFonts w:ascii="Calibri" w:hAnsi="Calibri"/>
          <w:color w:val="2D3748"/>
          <w:sz w:val="22"/>
        </w:rPr>
        <w:t xml:space="preserve"> dan fungsi pemetaan prediktif </w:t>
      </w:r>
      <m:oMath xmlns:mml="http://www.w3.org/1998/Math/MathML">
        <m:r>
          <m:t>f(·)</m:t>
        </m:r>
      </m:oMath>
      <w:r>
        <w:rPr>
          <w:rFonts w:ascii="Calibri" w:hAnsi="Calibri"/>
          <w:color w:val="2D3748"/>
          <w:sz w:val="22"/>
        </w:rPr>
        <w:t xml:space="preserve"> yang memodelkan distribusi probabilitas bersyarat </w:t>
      </w:r>
      <m:oMath xmlns:mml="http://www.w3.org/1998/Math/MathML">
        <m:r>
          <m:t>P(Y∣X)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𝒯={𝒴,P(Y∣X)}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sebuah </w:t>
      </w:r>
      <w:r>
        <w:rPr>
          <w:rFonts w:ascii="Calibri" w:hAnsi="Calibri"/>
          <w:b/>
          <w:color w:val="2D3748"/>
          <w:sz w:val="22"/>
        </w:rPr>
        <w:t>Domain Sumber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𝒟</m:t>
            </m:r>
          </m:e>
          <m:sub>
            <m:r>
              <m:t>S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(misal: ImageNet dengan citra objek umum) dan </w:t>
      </w:r>
      <w:r>
        <w:rPr>
          <w:rFonts w:ascii="Calibri" w:hAnsi="Calibri"/>
          <w:b/>
          <w:color w:val="2D3748"/>
          <w:sz w:val="22"/>
        </w:rPr>
        <w:t>Tugas Sumber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𝒯</m:t>
            </m:r>
          </m:e>
          <m:sub>
            <m:r>
              <m:t>S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serta </w:t>
      </w:r>
      <w:r>
        <w:rPr>
          <w:rFonts w:ascii="Calibri" w:hAnsi="Calibri"/>
          <w:b/>
          <w:color w:val="2D3748"/>
          <w:sz w:val="22"/>
        </w:rPr>
        <w:t>Domain Target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𝒟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(misal: citra daun kelapa sawit di lapangan) dan </w:t>
      </w:r>
      <w:r>
        <w:rPr>
          <w:rFonts w:ascii="Calibri" w:hAnsi="Calibri"/>
          <w:b/>
          <w:color w:val="2D3748"/>
          <w:sz w:val="22"/>
        </w:rPr>
        <w:t>Tugas Target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𝒯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. Transfer Learning bertujuan untuk meningkatkan estimasi fungsi prediktif target </w:t>
      </w:r>
      <m:oMath xmlns:mml="http://www.w3.org/1998/Math/MathML">
        <m:sSub>
          <m:e>
            <m:r>
              <m:t>f</m:t>
            </m:r>
          </m:e>
          <m:sub>
            <m:r>
              <m:t>T</m:t>
            </m:r>
          </m:sub>
        </m:sSub>
        <m:r>
          <m:t>(·)</m:t>
        </m:r>
      </m:oMath>
      <w:r>
        <w:rPr>
          <w:rFonts w:ascii="Calibri" w:hAnsi="Calibri"/>
          <w:color w:val="2D3748"/>
          <w:sz w:val="22"/>
        </w:rPr>
        <w:t xml:space="preserve"> dengan memanfaatkan pengetahuan dari </w:t>
      </w:r>
      <m:oMath xmlns:mml="http://www.w3.org/1998/Math/MathML">
        <m:sSub>
          <m:e>
            <m:r>
              <m:t>𝒟</m:t>
            </m:r>
          </m:e>
          <m:sub>
            <m:r>
              <m:t>S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𝒯</m:t>
            </m:r>
          </m:e>
          <m:sub>
            <m:r>
              <m:t>S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di mana </w:t>
      </w:r>
      <m:oMath xmlns:mml="http://www.w3.org/1998/Math/MathML">
        <m:sSub>
          <m:e>
            <m:r>
              <m:t>𝒟</m:t>
            </m:r>
          </m:e>
          <m:sub>
            <m:r>
              <m:t>S</m:t>
            </m:r>
          </m:sub>
        </m:sSub>
        <m:r>
          <m:t>≠</m:t>
        </m:r>
        <m:sSub>
          <m:e>
            <m:r>
              <m:t>𝒟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sSub>
          <m:e>
            <m:r>
              <m:t>𝒯</m:t>
            </m:r>
          </m:e>
          <m:sub>
            <m:r>
              <m:t>S</m:t>
            </m:r>
          </m:sub>
        </m:sSub>
        <m:r>
          <m:t>≠</m:t>
        </m:r>
        <m:sSub>
          <m:e>
            <m:r>
              <m:t>𝒯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Feature Extraction vs Fine-Tuning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arsitektur CNN dapat didekomposisi menjadi dua komponen fungsional: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Ekstraktor Fitur (*Backbone*)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g</m:t>
            </m:r>
          </m:e>
          <m:sub>
            <m:r>
              <m:t>θ</m:t>
            </m:r>
          </m:sub>
        </m:sSub>
        <m:r>
          <m:t>(x)</m:t>
        </m:r>
      </m:oMath>
      <w:r>
        <w:rPr>
          <w:rFonts w:ascii="Calibri" w:hAnsi="Calibri"/>
          <w:color w:val="2D3748"/>
          <w:sz w:val="22"/>
        </w:rPr>
        <w:t xml:space="preserve">: Memetakan citra masukan </w:t>
      </w:r>
      <m:oMath xmlns:mml="http://www.w3.org/1998/Math/MathML">
        <m:r>
          <m:t>x∈</m:t>
        </m:r>
        <m:sSup>
          <m:e>
            <m:r>
              <m:t>ℝ</m:t>
            </m:r>
          </m:e>
          <m:sup>
            <m:r>
              <m:t>H×W×C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menjadi vektor representasi laten berdaya pisah tinggi </w:t>
      </w:r>
      <m:oMath xmlns:mml="http://www.w3.org/1998/Math/MathML">
        <m:r>
          <m:t>z∈</m:t>
        </m:r>
        <m:sSup>
          <m:e>
            <m:r>
              <m:t>ℝ</m:t>
            </m:r>
          </m:e>
          <m:sup>
            <m:r>
              <m:t>D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Kepala Pengklasifikasi (*Classifier Head*)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ϕ</m:t>
            </m:r>
          </m:sub>
        </m:sSub>
        <m:r>
          <m:t>(z)</m:t>
        </m:r>
      </m:oMath>
      <w:r>
        <w:rPr>
          <w:rFonts w:ascii="Calibri" w:hAnsi="Calibri"/>
          <w:color w:val="2D3748"/>
          <w:sz w:val="22"/>
        </w:rPr>
        <w:t xml:space="preserve">: Memetakan vektor laten </w:t>
      </w:r>
      <m:oMath xmlns:mml="http://www.w3.org/1998/Math/MathML">
        <m:r>
          <m:t>z</m:t>
        </m:r>
      </m:oMath>
      <w:r>
        <w:rPr>
          <w:rFonts w:ascii="Calibri" w:hAnsi="Calibri"/>
          <w:color w:val="2D3748"/>
          <w:sz w:val="22"/>
        </w:rPr>
        <w:t xml:space="preserve"> menjadi logits probabilitas kelas </w:t>
      </w:r>
      <m:oMath xmlns:mml="http://www.w3.org/1998/Math/MathML">
        <m:acc>
          <m:accPr>
            <m:chr m:val="̂"/>
          </m:accPr>
          <m:e>
            <m:r>
              <m:t>y</m:t>
            </m:r>
          </m:e>
        </m:acc>
        <m:r>
          <m:t>∈</m:t>
        </m:r>
        <m:sSup>
          <m:e>
            <m:r>
              <m:t>ℝ</m:t>
            </m:r>
          </m:e>
          <m:sup>
            <m:r>
              <m:t>K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Strategi 1: Feature Extraction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Seluruh parameter backbone </w:t>
      </w:r>
      <m:oMath xmlns:mml="http://www.w3.org/1998/Math/MathML">
        <m:r>
          <m:t>θ</m:t>
        </m:r>
      </m:oMath>
      <w:r>
        <w:rPr>
          <w:rFonts w:ascii="Calibri" w:hAnsi="Calibri"/>
          <w:color w:val="2D3748"/>
          <w:sz w:val="22"/>
        </w:rPr>
        <w:t xml:space="preserve"> dibekukan (</w:t>
      </w:r>
      <w:r>
        <w:rPr>
          <w:rFonts w:ascii="Calibri" w:hAnsi="Calibri"/>
          <w:i/>
          <w:color w:val="2D3748"/>
          <w:sz w:val="22"/>
        </w:rPr>
        <w:t>frozen</w:t>
      </w:r>
      <w:r>
        <w:rPr>
          <w:rFonts w:ascii="Calibri" w:hAnsi="Calibri"/>
          <w:color w:val="2D3748"/>
          <w:sz w:val="22"/>
        </w:rPr>
        <w:t xml:space="preserve">), sehingga gradien tidak dihitung untuk lapisan-lapisan ini selama </w:t>
      </w:r>
      <w:r>
        <w:rPr>
          <w:rFonts w:ascii="Calibri" w:hAnsi="Calibri"/>
          <w:i/>
          <w:color w:val="2D3748"/>
          <w:sz w:val="22"/>
        </w:rPr>
        <w:t>backpropagation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∇</m:t>
            </m:r>
          </m:e>
          <m:sub>
            <m:r>
              <m:t>θ</m:t>
            </m:r>
          </m:sub>
        </m:sSub>
        <m:r>
          <m:t>ℒ=0,</m:t>
        </m:r>
        <m:sSup>
          <m:e>
            <m:r>
              <m:t>θ</m:t>
            </m:r>
          </m:e>
          <m:sup>
            <m:r>
              <m:t>(t+1)</m:t>
            </m:r>
          </m:sup>
        </m:sSup>
        <m:r>
          <m:t>=</m:t>
        </m:r>
        <m:sSup>
          <m:e>
            <m:r>
              <m:t>θ</m:t>
            </m:r>
          </m:e>
          <m:sup>
            <m:r>
              <m:t>(t)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Hanya parameter kepala pengklasifikasi baru </w:t>
      </w:r>
      <m:oMath xmlns:mml="http://www.w3.org/1998/Math/MathML">
        <m:r>
          <m:t>ϕ</m:t>
        </m:r>
      </m:oMath>
      <w:r>
        <w:rPr>
          <w:rFonts w:ascii="Calibri" w:hAnsi="Calibri"/>
          <w:color w:val="2D3748"/>
          <w:sz w:val="22"/>
        </w:rPr>
        <w:t xml:space="preserve"> yang diperbarui: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ϕ</m:t>
            </m:r>
          </m:e>
          <m:sup>
            <m:r>
              <m:t>(t+1)</m:t>
            </m:r>
          </m:sup>
        </m:sSup>
        <m:r>
          <m:t>=</m:t>
        </m:r>
        <m:sSup>
          <m:e>
            <m:r>
              <m:t>ϕ</m:t>
            </m:r>
          </m:e>
          <m:sup>
            <m:r>
              <m:t>(t)</m:t>
            </m:r>
          </m:sup>
        </m:sSup>
        <m:r>
          <m:t>−η</m:t>
        </m:r>
        <m:sSub>
          <m:e>
            <m:r>
              <m:t>∇</m:t>
            </m:r>
          </m:e>
          <m:sub>
            <m:r>
              <m:t>ϕ</m:t>
            </m:r>
          </m:sub>
        </m:sSub>
        <m:r>
          <m:t>ℒ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Strategi ini sangat cepat secara komputasi, kebal terhadap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, dan sangat ideal jika ukuran dataset target </w:t>
      </w:r>
      <m:oMath xmlns:mml="http://www.w3.org/1998/Math/MathML">
        <m:r>
          <m:t>N&lt;500</m:t>
        </m:r>
      </m:oMath>
      <w:r>
        <w:rPr>
          <w:rFonts w:ascii="Calibri" w:hAnsi="Calibri"/>
          <w:color w:val="2D3748"/>
          <w:sz w:val="22"/>
        </w:rPr>
        <w:t xml:space="preserve"> sampel.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Strategi 2: Fine-Tuning Bergradasi (Discriminative Fine-Tuning)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fine-tuning, seluruh atau sebagian lapisan backbone diaktifkan kembali untuk menerima pembaruan gradien. Namun, menerapkan laju pembelajaran (</w:t>
      </w:r>
      <w:r>
        <w:rPr>
          <w:rFonts w:ascii="Calibri" w:hAnsi="Calibri"/>
          <w:i/>
          <w:color w:val="2D3748"/>
          <w:sz w:val="22"/>
        </w:rPr>
        <w:t>learning rate</w:t>
      </w:r>
      <w:r>
        <w:rPr>
          <w:rFonts w:ascii="Calibri" w:hAnsi="Calibri"/>
          <w:color w:val="2D3748"/>
          <w:sz w:val="22"/>
        </w:rPr>
        <w:t>) tunggal yang seragam (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 xml:space="preserve">) pada seluruh jaringan dapat memicu </w:t>
      </w:r>
      <w:r>
        <w:rPr>
          <w:rFonts w:ascii="Calibri" w:hAnsi="Calibri"/>
          <w:b/>
          <w:color w:val="2D3748"/>
          <w:sz w:val="22"/>
        </w:rPr>
        <w:t>Catastrophic Forgetting</w:t>
      </w:r>
      <w:r>
        <w:rPr>
          <w:rFonts w:ascii="Calibri" w:hAnsi="Calibri"/>
          <w:color w:val="2D3748"/>
          <w:sz w:val="22"/>
        </w:rPr>
        <w:t>: bobot ekstraksi fitur universal pada lapisan awal rusak secara drastis oleh sinyal gradien besar dari kepala acak baru.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mencegahnya, diterapkan laju pembelajaran bergradasi (</w:t>
      </w:r>
      <w:r>
        <w:rPr>
          <w:rFonts w:ascii="Calibri" w:hAnsi="Calibri"/>
          <w:i/>
          <w:color w:val="2D3748"/>
          <w:sz w:val="22"/>
        </w:rPr>
        <w:t>discriminative learning rates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η</m:t>
            </m:r>
          </m:e>
          <m:sub>
            <m:r>
              <m:t>1</m:t>
            </m:r>
          </m:sub>
        </m:sSub>
        <m:r>
          <m:t>&lt;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t>&lt;…&lt;</m:t>
        </m:r>
        <m:sSub>
          <m:e>
            <m:r>
              <m:t>η</m:t>
            </m:r>
          </m:e>
          <m:sub>
            <m:r>
              <m:t>L</m:t>
            </m:r>
          </m:sub>
        </m:sSub>
        <m:r>
          <m:t>&lt;</m:t>
        </m:r>
        <m:sSub>
          <m:e>
            <m:r>
              <m:t>η</m:t>
            </m:r>
          </m:e>
          <m:sub>
            <m:r>
              <m:rPr>
                <m:nor/>
              </m:rPr>
              <m:t>head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mana rasio peluruhan laju pembelajaran antar-lapisan </w:t>
      </w:r>
      <m:oMath xmlns:mml="http://www.w3.org/1998/Math/MathML">
        <m:r>
          <m:t>ξ∈[0.1,0.5]</m:t>
        </m:r>
      </m:oMath>
      <w:r>
        <w:rPr>
          <w:rFonts w:ascii="Calibri" w:hAnsi="Calibri"/>
          <w:color w:val="2D3748"/>
          <w:sz w:val="22"/>
        </w:rPr>
        <w:t xml:space="preserve"> didefinisikan sebagai: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η</m:t>
            </m:r>
          </m:e>
          <m:sub>
            <m:r>
              <m:t>l</m:t>
            </m:r>
          </m:sub>
        </m:sSub>
        <m:r>
          <m:t>=</m:t>
        </m:r>
        <m:sSub>
          <m:e>
            <m:r>
              <m:t>η</m:t>
            </m:r>
          </m:e>
          <m:sub>
            <m:r>
              <m:rPr>
                <m:nor/>
              </m:rPr>
              <m:t>head</m:t>
            </m:r>
          </m:sub>
        </m:sSub>
        <m:r>
          <m:t>·</m:t>
        </m:r>
        <m:sSup>
          <m:e>
            <m:r>
              <m:t>ξ</m:t>
            </m:r>
          </m:e>
          <m:sup>
            <m:r>
              <m:t>L−l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Dengan skema ini, lapisan awal yang merepresentasikan filter primitif (garis, sudut, tekstur) hanya bergeser secara halus (</w:t>
      </w:r>
      <m:oMath xmlns:mml="http://www.w3.org/1998/Math/MathML">
        <m:r>
          <m:t>η≈</m:t>
        </m:r>
        <m:sSup>
          <m:e>
            <m:r>
              <m:t>10</m:t>
            </m:r>
          </m:e>
          <m:sup>
            <m:r>
              <m:t>−6</m:t>
            </m:r>
          </m:sup>
        </m:sSup>
      </m:oMath>
      <w:r>
        <w:rPr>
          <w:rFonts w:ascii="Calibri" w:hAnsi="Calibri"/>
          <w:color w:val="2D3748"/>
          <w:sz w:val="22"/>
        </w:rPr>
        <w:t>), sedangkan lapisan semantik atas dan kepala klasifikasi beradaptasi secara dinamis terhadap pola spesifik target (</w:t>
      </w:r>
      <m:oMath xmlns:mml="http://www.w3.org/1998/Math/MathML">
        <m:r>
          <m:t>η≈</m:t>
        </m:r>
        <m:sSup>
          <m:e>
            <m:r>
              <m:t>10</m:t>
            </m:r>
          </m:e>
          <m:sup>
            <m:r>
              <m:t>−3</m:t>
            </m:r>
          </m:sup>
        </m:sSup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Visualisasi Arsitektur &amp; Diagram Alir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i_transfer_learning_feature_extraction_fine_tu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Strategi Transfer Learning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Diagram di atas mengilustrasikan perbedaan arsitektur: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Feature Extraction</w:t>
      </w:r>
      <w:r>
        <w:rPr>
          <w:rFonts w:ascii="Calibri" w:hAnsi="Calibri"/>
          <w:color w:val="2D3748"/>
          <w:sz w:val="22"/>
        </w:rPr>
        <w:t>: Membekukan seluruh lapisan konvolusi (</w:t>
      </w:r>
      <w:r>
        <w:rPr>
          <w:rFonts w:ascii="Calibri" w:hAnsi="Calibri"/>
          <w:i/>
          <w:color w:val="2D3748"/>
          <w:sz w:val="22"/>
        </w:rPr>
        <w:t>parameter requires_grad = False</w:t>
      </w:r>
      <w:r>
        <w:rPr>
          <w:rFonts w:ascii="Calibri" w:hAnsi="Calibri"/>
          <w:color w:val="2D3748"/>
          <w:sz w:val="22"/>
        </w:rPr>
        <w:t>) dan hanya melatih lapisan linier akhir.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Fine-Tuning</w:t>
      </w:r>
      <w:r>
        <w:rPr>
          <w:rFonts w:ascii="Calibri" w:hAnsi="Calibri"/>
          <w:color w:val="2D3748"/>
          <w:sz w:val="22"/>
        </w:rPr>
        <w:t>: Mengaktifkan gradien pada lapisan konvolusi dalam (</w:t>
      </w:r>
      <w:r>
        <w:rPr>
          <w:rFonts w:ascii="Calibri" w:hAnsi="Calibri"/>
          <w:i/>
          <w:color w:val="2D3748"/>
          <w:sz w:val="22"/>
        </w:rPr>
        <w:t>deep conv stages</w:t>
      </w:r>
      <w:r>
        <w:rPr>
          <w:rFonts w:ascii="Calibri" w:hAnsi="Calibri"/>
          <w:color w:val="2D3748"/>
          <w:sz w:val="22"/>
        </w:rPr>
        <w:t>) dengan laju pembelajaran diferensial bertingkat.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Komputasional Berstandar Industri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bawah ini disajikan implementasi lengkap Transfer Learning menggunakan PyTorch dengan </w:t>
      </w:r>
      <w:r>
        <w:rPr>
          <w:rFonts w:ascii="Calibri" w:hAnsi="Calibri"/>
          <w:i/>
          <w:color w:val="2D3748"/>
          <w:sz w:val="22"/>
        </w:rPr>
        <w:t>Discriminative Learning Rates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t>import torchvision.models as models</w:t>
              <w:br/>
              <w:t>from typing import List, Dict</w:t>
              <w:br/>
              <w:br/>
              <w:t>def create_agro_transfer_model(num_classes: int = 5, freeze_backbone: bool = True) -&gt; nn.Module:</w:t>
              <w:br/>
              <w:t xml:space="preserve">    '''</w:t>
              <w:br/>
              <w:t xml:space="preserve">    Membangun model Transfer Learning berbasis ResNet-18 Pretrained.</w:t>
              <w:br/>
              <w:t xml:space="preserve">    '''</w:t>
              <w:br/>
              <w:t xml:space="preserve">    # Muat arsitektur ResNet-18 dengan bobot resmi ImageNet</w:t>
              <w:br/>
              <w:t xml:space="preserve">    model = models.resnet18(weights=models.ResNet18_Weights.DEFAULT)</w:t>
              <w:br/>
              <w:t xml:space="preserve">    </w:t>
              <w:br/>
              <w:t xml:space="preserve">    if freeze_backbone:</w:t>
              <w:br/>
              <w:t xml:space="preserve">        # Bekukan seluruh parameter backbone</w:t>
              <w:br/>
              <w:t xml:space="preserve">        for param in model.parameters():</w:t>
              <w:br/>
              <w:t xml:space="preserve">            param.requires_grad = False</w:t>
              <w:br/>
              <w:t xml:space="preserve">            </w:t>
              <w:br/>
              <w:t xml:space="preserve">    # Ganti classifier head lama (1000 kelas) dengan Custom Head untuk agrokompleks</w:t>
              <w:br/>
              <w:t xml:space="preserve">    in_features = model.fc.in_features</w:t>
              <w:br/>
              <w:t xml:space="preserve">    model.fc = nn.Sequential(</w:t>
              <w:br/>
              <w:t xml:space="preserve">        nn.Dropout(p=0.4),</w:t>
              <w:br/>
              <w:t xml:space="preserve">        nn.Linear(in_features, 128),</w:t>
              <w:br/>
              <w:t xml:space="preserve">        nn.ReLU(inplace=True),</w:t>
              <w:br/>
              <w:t xml:space="preserve">        nn.Dropout(p=0.2),</w:t>
              <w:br/>
              <w:t xml:space="preserve">        nn.Linear(128, num_classes)</w:t>
              <w:br/>
              <w:t xml:space="preserve">    )</w:t>
              <w:br/>
              <w:t xml:space="preserve">    return model</w:t>
              <w:br/>
              <w:br/>
              <w:t>def build_differential_optimizer(model: nn.Module, base_lr: float = 1e-3) -&gt; torch.optim.Optimizer:</w:t>
              <w:br/>
              <w:t xml:space="preserve">    '''</w:t>
              <w:br/>
              <w:t xml:space="preserve">    Membangun optimizer AdamW dengan 3 kelompok laju pembelajaran bertingkat.</w:t>
              <w:br/>
              <w:t xml:space="preserve">    '''</w:t>
              <w:br/>
              <w:t xml:space="preserve">    params_group: List[Dict] = [</w:t>
              <w:br/>
              <w:t xml:space="preserve">        {'params': model.layer1.parameters(), 'lr': base_lr * 0.01}, # Early conv: lr = 1e-5</w:t>
              <w:br/>
              <w:t xml:space="preserve">        {'params': model.layer2.parameters(), 'lr': base_lr * 0.05},</w:t>
              <w:br/>
              <w:t xml:space="preserve">        {'params': model.layer3.parameters(), 'lr': base_lr * 0.10},</w:t>
              <w:br/>
              <w:t xml:space="preserve">        {'params': model.layer4.parameters(), 'lr': base_lr * 0.20}, # Deep conv:  lr = 2e-4</w:t>
              <w:br/>
              <w:t xml:space="preserve">        {'params': model.fc.parameters(),     'lr': base_lr}         # New head:   lr = 1e-3</w:t>
              <w:br/>
              <w:t xml:space="preserve">    ]</w:t>
              <w:br/>
              <w:t xml:space="preserve">    return torch.optim.AdamW(params_group, weight_decay=1e-4)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Riil &amp; Rekayasa Lapangan Terapan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Diagnosis Defisiensi Hara Makro Daun Bibit Sawit dengan Dataset Terbatas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perkebunan kelapa sawit, defisiensi hara makro (Nitrogen / N, Kalium / K, Magnesium / Mg, dan Boron / B) menimbulkan gejala klorosis visual yang spesifik: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Defisiensi N</w:t>
      </w:r>
      <w:r>
        <w:rPr>
          <w:rFonts w:ascii="Calibri" w:hAnsi="Calibri"/>
          <w:color w:val="2D3748"/>
          <w:sz w:val="22"/>
        </w:rPr>
        <w:t>: Daun menguning merata dari pucuk ke pangkal (</w:t>
      </w:r>
      <w:r>
        <w:rPr>
          <w:rFonts w:ascii="Calibri" w:hAnsi="Calibri"/>
          <w:i/>
          <w:color w:val="2D3748"/>
          <w:sz w:val="22"/>
        </w:rPr>
        <w:t>overall pale green to yellow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Defisiensi K</w:t>
      </w:r>
      <w:r>
        <w:rPr>
          <w:rFonts w:ascii="Calibri" w:hAnsi="Calibri"/>
          <w:color w:val="2D3748"/>
          <w:sz w:val="22"/>
        </w:rPr>
        <w:t>: Muncul bintik-bintik oranye tembus cahaya (</w:t>
      </w:r>
      <w:r>
        <w:rPr>
          <w:rFonts w:ascii="Calibri" w:hAnsi="Calibri"/>
          <w:i/>
          <w:color w:val="2D3748"/>
          <w:sz w:val="22"/>
        </w:rPr>
        <w:t>confluent orange spotting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Defisiensi Mg</w:t>
      </w:r>
      <w:r>
        <w:rPr>
          <w:rFonts w:ascii="Calibri" w:hAnsi="Calibri"/>
          <w:color w:val="2D3748"/>
          <w:sz w:val="22"/>
        </w:rPr>
        <w:t>: Daun tua berwarna jingga cerah pada helai yang terpapar sinar matahari langsung, sementara bagian ternaungi tetap hijau (</w:t>
      </w:r>
      <w:r>
        <w:rPr>
          <w:rFonts w:ascii="Calibri" w:hAnsi="Calibri"/>
          <w:i/>
          <w:color w:val="2D3748"/>
          <w:sz w:val="22"/>
        </w:rPr>
        <w:t>orange banding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Defisiensi B</w:t>
      </w:r>
      <w:r>
        <w:rPr>
          <w:rFonts w:ascii="Calibri" w:hAnsi="Calibri"/>
          <w:color w:val="2D3748"/>
          <w:sz w:val="22"/>
        </w:rPr>
        <w:t>: Daun mengkerut membentuk ujung kait (</w:t>
      </w:r>
      <w:r>
        <w:rPr>
          <w:rFonts w:ascii="Calibri" w:hAnsi="Calibri"/>
          <w:i/>
          <w:color w:val="2D3748"/>
          <w:sz w:val="22"/>
        </w:rPr>
        <w:t>hook leaf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crinkled leaf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Tantangan Lapangan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Dataset yang terkumpul dari perkebunan hanya berjumlah </w:t>
      </w:r>
      <w:r>
        <w:rPr>
          <w:rFonts w:ascii="Calibri" w:hAnsi="Calibri"/>
          <w:b/>
          <w:color w:val="2D3748"/>
          <w:sz w:val="22"/>
        </w:rPr>
        <w:t>60 citra per kelas</w:t>
      </w:r>
      <w:r>
        <w:rPr>
          <w:rFonts w:ascii="Calibri" w:hAnsi="Calibri"/>
          <w:color w:val="2D3748"/>
          <w:sz w:val="22"/>
        </w:rPr>
        <w:t xml:space="preserve"> (total 240 citra). Melatih CNN dari awal (</w:t>
      </w:r>
      <w:r>
        <w:rPr>
          <w:rFonts w:ascii="Calibri" w:hAnsi="Calibri"/>
          <w:i/>
          <w:color w:val="2D3748"/>
          <w:sz w:val="22"/>
        </w:rPr>
        <w:t>scratch</w:t>
      </w:r>
      <w:r>
        <w:rPr>
          <w:rFonts w:ascii="Calibri" w:hAnsi="Calibri"/>
          <w:color w:val="2D3748"/>
          <w:sz w:val="22"/>
        </w:rPr>
        <w:t xml:space="preserve">) menghasilkan akurasi validasi yang macet di angka </w:t>
      </w:r>
      <w:r>
        <w:rPr>
          <w:rFonts w:ascii="Calibri" w:hAnsi="Calibri"/>
          <w:b/>
          <w:color w:val="2D3748"/>
          <w:sz w:val="22"/>
        </w:rPr>
        <w:t>48.2%</w:t>
      </w:r>
      <w:r>
        <w:rPr>
          <w:rFonts w:ascii="Calibri" w:hAnsi="Calibri"/>
          <w:color w:val="2D3748"/>
          <w:sz w:val="22"/>
        </w:rPr>
        <w:t xml:space="preserve"> karena model mengalami overfitting parah.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Solusi Transfer Learning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menerapkan </w:t>
      </w:r>
      <w:r>
        <w:rPr>
          <w:rFonts w:ascii="Calibri" w:hAnsi="Calibri"/>
          <w:b/>
          <w:color w:val="2D3748"/>
          <w:sz w:val="22"/>
        </w:rPr>
        <w:t>ResNet-18 Pretrained (ImageNet)</w:t>
      </w:r>
      <w:r>
        <w:rPr>
          <w:rFonts w:ascii="Calibri" w:hAnsi="Calibri"/>
          <w:color w:val="2D3748"/>
          <w:sz w:val="22"/>
        </w:rPr>
        <w:t xml:space="preserve"> melalui strategi </w:t>
      </w:r>
      <w:r>
        <w:rPr>
          <w:rFonts w:ascii="Calibri" w:hAnsi="Calibri"/>
          <w:i/>
          <w:color w:val="2D3748"/>
          <w:sz w:val="22"/>
        </w:rPr>
        <w:t>Feature Extraction</w:t>
      </w:r>
      <w:r>
        <w:rPr>
          <w:rFonts w:ascii="Calibri" w:hAnsi="Calibri"/>
          <w:color w:val="2D3748"/>
          <w:sz w:val="22"/>
        </w:rPr>
        <w:t xml:space="preserve"> selama 10 epoch awal, diikuti </w:t>
      </w:r>
      <w:r>
        <w:rPr>
          <w:rFonts w:ascii="Calibri" w:hAnsi="Calibri"/>
          <w:i/>
          <w:color w:val="2D3748"/>
          <w:sz w:val="22"/>
        </w:rPr>
        <w:t>Fine-Tuning</w:t>
      </w:r>
      <w:r>
        <w:rPr>
          <w:rFonts w:ascii="Calibri" w:hAnsi="Calibri"/>
          <w:color w:val="2D3748"/>
          <w:sz w:val="22"/>
        </w:rPr>
        <w:t xml:space="preserve"> pada blok residual tahap 4 dengan laju pembelajaran </w:t>
      </w:r>
      <m:oMath xmlns:mml="http://www.w3.org/1998/Math/MathML">
        <m:sSup>
          <m:e>
            <m:r>
              <m:t>10</m:t>
            </m:r>
          </m:e>
          <m:sup>
            <m:r>
              <m:t>−5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, akurasi validasi melonjak hingga </w:t>
      </w:r>
      <w:r>
        <w:rPr>
          <w:rFonts w:ascii="Calibri" w:hAnsi="Calibri"/>
          <w:b/>
          <w:color w:val="2D3748"/>
          <w:sz w:val="22"/>
        </w:rPr>
        <w:t>95.8%</w:t>
      </w:r>
      <w:r>
        <w:rPr>
          <w:rFonts w:ascii="Calibri" w:hAnsi="Calibri"/>
          <w:color w:val="2D3748"/>
          <w:sz w:val="22"/>
        </w:rPr>
        <w:t xml:space="preserve"> dalam 25 epoch pelatihan.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Analisis Kompleksitas &amp; Karakteristik Komputasi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Perbandingan efisiensi pelatihan pada GPU NVIDIA RTX 3060 (Batch Size = 32, Citra 224x224):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Pelatihan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Terlatih (*Trainable*)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Waktu Pelatihan / Epoch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Estimasi VRAM GPU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Epoch Menuju Konvergensi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Akurasi Validasi Target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From Scratch (Acak)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11.689.512 (100%)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~14.2 detik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~2.8 GB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~120 Epoch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52.4% (Overfit Parah)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Feature Extraction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66.309 (0.57%)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~3.1 detik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~0.9 GB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~15 Epoch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91.2% (Sangat Cepat)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Fine-Tuning Penuh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11.689.512 (100%)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~14.8 detik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~2.9 GB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~30 Epoch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96.7% (Optimal)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Potensi Kegagalan, &amp; Mitigasi Teknis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Masalah Teknis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Visual / Metrik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Mitigasi Teruji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Normalisasi Citra Tidak Selaras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Akurasi model transfer learning sangat rendah (&lt; 30%) sejak awal pelatihan.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menerapkan normalisasi mean dan standard deviasi resmi ImageNet pada masukan citra (</w:t>
            </w:r>
            <w:r>
              <w:rPr>
                <w:rFonts w:ascii="Consolas" w:hAnsi="Consolas"/>
                <w:color w:val="9C1A1A"/>
                <w:sz w:val="19"/>
              </w:rPr>
              <w:t>mean=[0.485, 0.456, 0.406]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std=[0.229, 0.224, 0.225]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Pastikan </w:t>
            </w:r>
            <w:r>
              <w:rPr>
                <w:rFonts w:ascii="Calibri" w:hAnsi="Calibri"/>
                <w:i/>
                <w:color w:val="2D3748"/>
                <w:sz w:val="19"/>
              </w:rPr>
              <w:t>pipeline transforms</w:t>
            </w:r>
            <w:r>
              <w:rPr>
                <w:rFonts w:ascii="Calibri" w:hAnsi="Calibri"/>
                <w:color w:val="2D3748"/>
                <w:sz w:val="19"/>
              </w:rPr>
              <w:t xml:space="preserve"> menyertakan </w:t>
            </w:r>
            <w:r>
              <w:rPr>
                <w:rFonts w:ascii="Consolas" w:hAnsi="Consolas"/>
                <w:color w:val="9C1A1A"/>
                <w:sz w:val="19"/>
              </w:rPr>
              <w:t>transforms.Normalize</w:t>
            </w:r>
            <w:r>
              <w:rPr>
                <w:rFonts w:ascii="Calibri" w:hAnsi="Calibri"/>
                <w:color w:val="2D3748"/>
                <w:sz w:val="19"/>
              </w:rPr>
              <w:t xml:space="preserve"> dengan parameter ImageNet standar yang identik dengan fase pra-pelatihan.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Catastrophic Forgetting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Loss melonjak drastis di awal fine-tuning dan tidak pernah konvergen kembali.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Mengaktifkan seluruh lapisan backbone dengan </w:t>
            </w:r>
            <w:r>
              <w:rPr>
                <w:rFonts w:ascii="Calibri" w:hAnsi="Calibri"/>
                <w:i/>
                <w:color w:val="2D3748"/>
                <w:sz w:val="19"/>
              </w:rPr>
              <w:t>learning rate</w:t>
            </w:r>
            <w:r>
              <w:rPr>
                <w:rFonts w:ascii="Calibri" w:hAnsi="Calibri"/>
                <w:color w:val="2D3748"/>
                <w:sz w:val="19"/>
              </w:rPr>
              <w:t xml:space="preserve"> besar (</w:t>
            </w:r>
            <m:oMath xmlns:mml="http://www.w3.org/1998/Math/MathML">
              <m: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−3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>) bersamaan dengan kepala yang belum terinisialisasi.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Lakukan </w:t>
            </w:r>
            <w:r>
              <w:rPr>
                <w:rFonts w:ascii="Calibri" w:hAnsi="Calibri"/>
                <w:i/>
                <w:color w:val="2D3748"/>
                <w:sz w:val="19"/>
              </w:rPr>
              <w:t>warm-up</w:t>
            </w:r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w:r>
              <w:rPr>
                <w:rFonts w:ascii="Calibri" w:hAnsi="Calibri"/>
                <w:i/>
                <w:color w:val="2D3748"/>
                <w:sz w:val="19"/>
              </w:rPr>
              <w:t>two-stage training</w:t>
            </w:r>
            <w:r>
              <w:rPr>
                <w:rFonts w:ascii="Calibri" w:hAnsi="Calibri"/>
                <w:color w:val="2D3748"/>
                <w:sz w:val="19"/>
              </w:rPr>
              <w:t>: latih kepala klasifikasi terlebih dahulu hingga konvergen (Feature Extraction), baru aktifkan fine-tuning dengan LR sangat kecil (</w:t>
            </w:r>
            <m:oMath xmlns:mml="http://www.w3.org/1998/Math/MathML">
              <m:sSup>
                <m:e>
                  <m:r>
                    <m:t>10</m:t>
                  </m:r>
                </m:e>
                <m:sup>
                  <m:r>
                    <m:t>−5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Kebocoran Gradien pada Backbone yang Dibekukan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Memori GPU melonjak tinggi meskipun berniat membekukan backbone.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Hanya mengatur mode </w:t>
            </w:r>
            <w:r>
              <w:rPr>
                <w:rFonts w:ascii="Consolas" w:hAnsi="Consolas"/>
                <w:color w:val="9C1A1A"/>
                <w:sz w:val="19"/>
              </w:rPr>
              <w:t>eval()</w:t>
            </w:r>
            <w:r>
              <w:rPr>
                <w:rFonts w:ascii="Calibri" w:hAnsi="Calibri"/>
                <w:color w:val="2D3748"/>
                <w:sz w:val="19"/>
              </w:rPr>
              <w:t xml:space="preserve"> tanpa mengubah flag </w:t>
            </w:r>
            <w:r>
              <w:rPr>
                <w:rFonts w:ascii="Consolas" w:hAnsi="Consolas"/>
                <w:color w:val="9C1A1A"/>
                <w:sz w:val="19"/>
              </w:rPr>
              <w:t>param.requires_grad = False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Mode </w:t>
            </w:r>
            <w:r>
              <w:rPr>
                <w:rFonts w:ascii="Consolas" w:hAnsi="Consolas"/>
                <w:color w:val="9C1A1A"/>
                <w:sz w:val="19"/>
              </w:rPr>
              <w:t>model.eval()</w:t>
            </w:r>
            <w:r>
              <w:rPr>
                <w:rFonts w:ascii="Calibri" w:hAnsi="Calibri"/>
                <w:color w:val="2D3748"/>
                <w:sz w:val="19"/>
              </w:rPr>
              <w:t xml:space="preserve"> hanya memengaruhi Dropout dan BatchNorm, bukan aliran komputasi gradien. Wajib loop eksplisit </w:t>
            </w:r>
            <w:r>
              <w:rPr>
                <w:rFonts w:ascii="Consolas" w:hAnsi="Consolas"/>
                <w:color w:val="9C1A1A"/>
                <w:sz w:val="19"/>
              </w:rPr>
              <w:t>for p in model.parameters(): p.requires_grad = False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Terbimbing &amp; Mandiri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Terbimbing (Guided Practice)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Parameter</w:t>
      </w:r>
      <w:r>
        <w:rPr>
          <w:rFonts w:ascii="Calibri" w:hAnsi="Calibri"/>
          <w:color w:val="2D3748"/>
          <w:sz w:val="22"/>
        </w:rPr>
        <w:t xml:space="preserve">: Diberikan model ResNet-50. Jika seluruh lapisan backbone dibekukan dan kepala klasifikasi diubah menjadi </w:t>
      </w:r>
      <w:r>
        <w:rPr>
          <w:rFonts w:ascii="Consolas" w:hAnsi="Consolas"/>
          <w:color w:val="9C1A1A"/>
          <w:sz w:val="19"/>
        </w:rPr>
        <w:t>nn.Linear(2048, 4)</w:t>
      </w:r>
      <w:r>
        <w:rPr>
          <w:rFonts w:ascii="Calibri" w:hAnsi="Calibri"/>
          <w:color w:val="2D3748"/>
          <w:sz w:val="22"/>
        </w:rPr>
        <w:t>, hitung persentase parameter yang aktif dilatih terhadap total parameter model (total ResNet-50 = 25.557.032).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Parameter kepala baru: </w:t>
      </w:r>
      <m:oMath xmlns:mml="http://www.w3.org/1998/Math/MathML">
        <m:r>
          <m:t>2048×4+4=8.196</m:t>
        </m:r>
      </m:oMath>
      <w:r>
        <w:rPr>
          <w:rFonts w:ascii="Calibri" w:hAnsi="Calibri"/>
          <w:color w:val="2D3748"/>
          <w:sz w:val="22"/>
        </w:rPr>
        <w:t xml:space="preserve"> parameter.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Persentase aktif: </w:t>
      </w:r>
      <m:oMath xmlns:mml="http://www.w3.org/1998/Math/MathML">
        <m:f>
          <m:fPr>
            <m:type m:val="bar"/>
          </m:fPr>
          <m:num>
            <m:r>
              <m:t>8.196</m:t>
            </m:r>
          </m:num>
          <m:den>
            <m:r>
              <m:t>25.557</m:t>
            </m:r>
            <m:r>
              <m:rPr>
                <m:sty m:val="p"/>
              </m:rPr>
              <m:t>.032</m:t>
            </m:r>
          </m:den>
        </m:f>
        <m:r>
          <m:t>×100%≈</m:t>
        </m:r>
        <m:r>
          <m:rPr>
            <m:sty m:val="b"/>
          </m:rPr>
          <m:t>0.032%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Lebih dari </w:t>
      </w:r>
      <m:oMath xmlns:mml="http://www.w3.org/1998/Math/MathML">
        <m:r>
          <m:t>99.96%</m:t>
        </m:r>
      </m:oMath>
      <w:r>
        <w:rPr>
          <w:rFonts w:ascii="Calibri" w:hAnsi="Calibri"/>
          <w:color w:val="2D3748"/>
          <w:sz w:val="22"/>
        </w:rPr>
        <w:t xml:space="preserve"> parameter dibekukan, menghemat komputasi gradien secara masif.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Mandiri (Independent Problem Set)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Soal 1 (Konseptual)</w:t>
      </w:r>
      <w:r>
        <w:rPr>
          <w:rFonts w:ascii="Calibri" w:hAnsi="Calibri"/>
          <w:color w:val="2D3748"/>
          <w:sz w:val="22"/>
        </w:rPr>
        <w:t xml:space="preserve">: Jelaskan kondisi di mana strategi </w:t>
      </w:r>
      <w:r>
        <w:rPr>
          <w:rFonts w:ascii="Calibri" w:hAnsi="Calibri"/>
          <w:i/>
          <w:color w:val="2D3748"/>
          <w:sz w:val="22"/>
        </w:rPr>
        <w:t>Fine-Tuning</w:t>
      </w:r>
      <w:r>
        <w:rPr>
          <w:rFonts w:ascii="Calibri" w:hAnsi="Calibri"/>
          <w:color w:val="2D3748"/>
          <w:sz w:val="22"/>
        </w:rPr>
        <w:t xml:space="preserve"> justru dapat memperburuk performa model dibandingkan </w:t>
      </w:r>
      <w:r>
        <w:rPr>
          <w:rFonts w:ascii="Calibri" w:hAnsi="Calibri"/>
          <w:i/>
          <w:color w:val="2D3748"/>
          <w:sz w:val="22"/>
        </w:rPr>
        <w:t>Feature Extraction</w:t>
      </w:r>
      <w:r>
        <w:rPr>
          <w:rFonts w:ascii="Calibri" w:hAnsi="Calibri"/>
          <w:color w:val="2D3748"/>
          <w:sz w:val="22"/>
        </w:rPr>
        <w:t>, khususnya ditinjau dari kemiripan domain (</w:t>
      </w:r>
      <w:r>
        <w:rPr>
          <w:rFonts w:ascii="Calibri" w:hAnsi="Calibri"/>
          <w:i/>
          <w:color w:val="2D3748"/>
          <w:sz w:val="22"/>
        </w:rPr>
        <w:t>domain similarity</w:t>
      </w:r>
      <w:r>
        <w:rPr>
          <w:rFonts w:ascii="Calibri" w:hAnsi="Calibri"/>
          <w:color w:val="2D3748"/>
          <w:sz w:val="22"/>
        </w:rPr>
        <w:t>) dan volume dataset target.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Soal 2 (Komputasional)</w:t>
      </w:r>
      <w:r>
        <w:rPr>
          <w:rFonts w:ascii="Calibri" w:hAnsi="Calibri"/>
          <w:color w:val="2D3748"/>
          <w:sz w:val="22"/>
        </w:rPr>
        <w:t xml:space="preserve">: Rancang skrip PyTorch yang membekukan semua lapisan pada arsitektur MobileNetV2 kecuali blok </w:t>
      </w:r>
      <w:r>
        <w:rPr>
          <w:rFonts w:ascii="Calibri" w:hAnsi="Calibri"/>
          <w:i/>
          <w:color w:val="2D3748"/>
          <w:sz w:val="22"/>
        </w:rPr>
        <w:t>Inverted Residual</w:t>
      </w:r>
      <w:r>
        <w:rPr>
          <w:rFonts w:ascii="Calibri" w:hAnsi="Calibri"/>
          <w:color w:val="2D3748"/>
          <w:sz w:val="22"/>
        </w:rPr>
        <w:t xml:space="preserve"> ke-17 dan ke-18 serta classifier head. Hitung jumlah parameter yang aktif dilatih.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12.5: Image Classification dengan CNN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Kita telah menguasai bagaimana memanfaatkan representasi visual dari model pretrained melalui transfer learning. Langkah selanjutnya adalah merangkai seluruh pengetahuan ini ke dalam sebuah pipeline produksi yang utuh dan tangguh.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12.5: Image Classification dengan CNN</w:t>
      </w:r>
      <w:r>
        <w:rPr>
          <w:rFonts w:ascii="Calibri" w:hAnsi="Calibri"/>
          <w:color w:val="2D3748"/>
          <w:sz w:val="22"/>
        </w:rPr>
        <w:t>, kita akan membangun sistem klasifikasi citra end-to-end berstandar industri: integrasi augmentasi citra lanjutan (</w:t>
      </w:r>
      <w:r>
        <w:rPr>
          <w:rFonts w:ascii="Calibri" w:hAnsi="Calibri"/>
          <w:i/>
          <w:color w:val="2D3748"/>
          <w:sz w:val="22"/>
        </w:rPr>
        <w:t>Albumentations / Torchvision</w:t>
      </w:r>
      <w:r>
        <w:rPr>
          <w:rFonts w:ascii="Calibri" w:hAnsi="Calibri"/>
          <w:color w:val="2D3748"/>
          <w:sz w:val="22"/>
        </w:rPr>
        <w:t>), penanganan ketidakseimbangan kelas (</w:t>
      </w:r>
      <w:r>
        <w:rPr>
          <w:rFonts w:ascii="Calibri" w:hAnsi="Calibri"/>
          <w:i/>
          <w:color w:val="2D3748"/>
          <w:sz w:val="22"/>
        </w:rPr>
        <w:t>Weighted Random Sampler</w:t>
      </w:r>
      <w:r>
        <w:rPr>
          <w:rFonts w:ascii="Calibri" w:hAnsi="Calibri"/>
          <w:color w:val="2D3748"/>
          <w:sz w:val="22"/>
        </w:rPr>
        <w:t xml:space="preserve">), </w:t>
      </w:r>
      <w:r>
        <w:rPr>
          <w:rFonts w:ascii="Calibri" w:hAnsi="Calibri"/>
          <w:i/>
          <w:color w:val="2D3748"/>
          <w:sz w:val="22"/>
        </w:rPr>
        <w:t>learning rate scheduling</w:t>
      </w:r>
      <w:r>
        <w:rPr>
          <w:rFonts w:ascii="Calibri" w:hAnsi="Calibri"/>
          <w:color w:val="2D3748"/>
          <w:sz w:val="22"/>
        </w:rPr>
        <w:t>, metrik evaluasi menyeluruh (</w:t>
      </w:r>
      <w:r>
        <w:rPr>
          <w:rFonts w:ascii="Calibri" w:hAnsi="Calibri"/>
          <w:i/>
          <w:color w:val="2D3748"/>
          <w:sz w:val="22"/>
        </w:rPr>
        <w:t>Confusion Matrix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ROC-AUC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F1-Score</w:t>
      </w:r>
      <w:r>
        <w:rPr>
          <w:rFonts w:ascii="Calibri" w:hAnsi="Calibri"/>
          <w:color w:val="2D3748"/>
          <w:sz w:val="22"/>
        </w:rPr>
        <w:t xml:space="preserve">), serta visualisasi interpretasi model menggunakan </w:t>
      </w:r>
      <w:r>
        <w:rPr>
          <w:rFonts w:ascii="Calibri" w:hAnsi="Calibri"/>
          <w:i/>
          <w:color w:val="2D3748"/>
          <w:sz w:val="22"/>
        </w:rPr>
        <w:t>Grad-CAM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Komprehensif Berstandar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Pan, S. J., &amp; Yang, Q. (2009). </w:t>
      </w:r>
      <w:r>
        <w:rPr>
          <w:rFonts w:ascii="Calibri" w:hAnsi="Calibri"/>
          <w:i/>
          <w:color w:val="2D3748"/>
          <w:sz w:val="22"/>
        </w:rPr>
        <w:t>A survey on transfer learning</w:t>
      </w:r>
      <w:r>
        <w:rPr>
          <w:rFonts w:ascii="Calibri" w:hAnsi="Calibri"/>
          <w:color w:val="2D3748"/>
          <w:sz w:val="22"/>
        </w:rPr>
        <w:t>. IEEE Transactions on Knowledge and Data Engineering, 22(10), 1345-1359.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Yosinski, J., Clune, J., Bengio, Y., &amp; Lipson, H. (2014). </w:t>
      </w:r>
      <w:r>
        <w:rPr>
          <w:rFonts w:ascii="Calibri" w:hAnsi="Calibri"/>
          <w:i/>
          <w:color w:val="2D3748"/>
          <w:sz w:val="22"/>
        </w:rPr>
        <w:t>How transferable are features in deep neural networks?</w:t>
      </w:r>
      <w:r>
        <w:rPr>
          <w:rFonts w:ascii="Calibri" w:hAnsi="Calibri"/>
          <w:color w:val="2D3748"/>
          <w:sz w:val="22"/>
        </w:rPr>
        <w:t>. Advances in Neural Information Processing Systems (NeurIPS 2014), 27, 3320-3328.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Howard, J., &amp; Ruder, S. (2018). </w:t>
      </w:r>
      <w:r>
        <w:rPr>
          <w:rFonts w:ascii="Calibri" w:hAnsi="Calibri"/>
          <w:i/>
          <w:color w:val="2D3748"/>
          <w:sz w:val="22"/>
        </w:rPr>
        <w:t>Universal language model fine-tuning for text classification</w:t>
      </w:r>
      <w:r>
        <w:rPr>
          <w:rFonts w:ascii="Calibri" w:hAnsi="Calibri"/>
          <w:color w:val="2D3748"/>
          <w:sz w:val="22"/>
        </w:rPr>
        <w:t>. Proceedings of the 56th Annual Meeting of the Association for Computational Linguistics (ACL), 328-339.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He, K., Girshick, R., &amp; Dollár, P. (2019). </w:t>
      </w:r>
      <w:r>
        <w:rPr>
          <w:rFonts w:ascii="Calibri" w:hAnsi="Calibri"/>
          <w:i/>
          <w:color w:val="2D3748"/>
          <w:sz w:val="22"/>
        </w:rPr>
        <w:t>Rethinking ImageNet pre-training</w:t>
      </w:r>
      <w:r>
        <w:rPr>
          <w:rFonts w:ascii="Calibri" w:hAnsi="Calibri"/>
          <w:color w:val="2D3748"/>
          <w:sz w:val="22"/>
        </w:rPr>
        <w:t>. Proceedings of the IEEE/CVF International Conference on Computer Vision (ICCV), 4918-4927.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Deng, J., Dong, W., Socher, R., Li, L. J., Li, K., &amp; Fei-Fei, L. (2009). </w:t>
      </w:r>
      <w:r>
        <w:rPr>
          <w:rFonts w:ascii="Calibri" w:hAnsi="Calibri"/>
          <w:i/>
          <w:color w:val="2D3748"/>
          <w:sz w:val="22"/>
        </w:rPr>
        <w:t>ImageNet: A large-scale hierarchical image database</w:t>
      </w:r>
      <w:r>
        <w:rPr>
          <w:rFonts w:ascii="Calibri" w:hAnsi="Calibri"/>
          <w:color w:val="2D3748"/>
          <w:sz w:val="22"/>
        </w:rPr>
        <w:t>. IEEE Conference on Computer Vision and Pattern Recognition (CVPR), 248-255.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