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12.8: Single Shot Detector (SSD)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12.8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arsitektur piramida fitur multi-resolusi SSD dan perancangan kotak acuan bawaan (default boxes / prior boxes).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Menguasai strategi pencocokan kotak (matching strategy) berbasis ambang batas Jaccard / IoU.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Memahami formulasi matematis Hard Negative Mining untuk menyeimbangkan disparitas ekstrem antara sampel latar belakang dan objek.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Menurunkan fungsi kerugian gabungan MultiBox Loss (Smooth L1 untuk regresi dan Softmax Cross-Entropy untuk klasifikasi).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Single Shot Detector (SSD).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perkembangan arsitektur deteksi objek satu tahap (</w:t>
      </w:r>
      <w:r>
        <w:rPr>
          <w:rFonts w:ascii="Calibri" w:hAnsi="Calibri"/>
          <w:i/>
          <w:color w:val="2D3748"/>
          <w:sz w:val="22"/>
        </w:rPr>
        <w:t>single-stage detectors</w:t>
      </w:r>
      <w:r>
        <w:rPr>
          <w:rFonts w:ascii="Calibri" w:hAnsi="Calibri"/>
          <w:color w:val="2D3748"/>
          <w:sz w:val="22"/>
        </w:rPr>
        <w:t xml:space="preserve">), </w:t>
      </w:r>
      <w:r>
        <w:rPr>
          <w:rFonts w:ascii="Calibri" w:hAnsi="Calibri"/>
          <w:b/>
          <w:color w:val="2D3748"/>
          <w:sz w:val="22"/>
        </w:rPr>
        <w:t>Single Shot MultiBox Detector (SSD)</w:t>
      </w:r>
      <w:r>
        <w:rPr>
          <w:rFonts w:ascii="Calibri" w:hAnsi="Calibri"/>
          <w:color w:val="2D3748"/>
          <w:sz w:val="22"/>
        </w:rPr>
        <w:t xml:space="preserve">, yang dirumuskan oleh Liu et al. (2016), meletakkan salah satu pilar konseptual paling penting: </w:t>
      </w:r>
      <w:r>
        <w:rPr>
          <w:rFonts w:ascii="Calibri" w:hAnsi="Calibri"/>
          <w:b/>
          <w:color w:val="2D3748"/>
          <w:sz w:val="22"/>
        </w:rPr>
        <w:t>deteksi fitur piramidal multi-skala (*multi-scale feature pyramid detection*)</w:t>
      </w:r>
      <w:r>
        <w:rPr>
          <w:rFonts w:ascii="Calibri" w:hAnsi="Calibri"/>
          <w:color w:val="2D3748"/>
          <w:sz w:val="22"/>
        </w:rPr>
        <w:t>. Sebelum hadirnya SSD, detektor satu tahap awal (seperti YOLOv1) memproyeksikan seluruh deteksi hanya dari satu lapisan keluaran terakhir yang telah mengalami resolusi penyusutan ekstrem (</w:t>
      </w:r>
      <m:oMath xmlns:mml="http://www.w3.org/1998/Math/MathML">
        <m:r>
          <m:t>32×</m:t>
        </m:r>
      </m:oMath>
      <w:r>
        <w:rPr>
          <w:rFonts w:ascii="Calibri" w:hAnsi="Calibri"/>
          <w:color w:val="2D3748"/>
          <w:sz w:val="22"/>
        </w:rPr>
        <w:t xml:space="preserve"> downsampling), yang mengakibatkan kegagalan total dalam mendeteksi objek-objek kecil.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SSD mengatasi kelemahan tersebut dengan mengekstrak prediksi deteksi secara simultan dari </w:t>
      </w:r>
      <w:r>
        <w:rPr>
          <w:rFonts w:ascii="Calibri" w:hAnsi="Calibri"/>
          <w:b/>
          <w:color w:val="2D3748"/>
          <w:sz w:val="22"/>
        </w:rPr>
        <w:t>berbagai lapisan konvolusi pada kedalaman yang berbeda</w:t>
      </w:r>
      <w:r>
        <w:rPr>
          <w:rFonts w:ascii="Calibri" w:hAnsi="Calibri"/>
          <w:color w:val="2D3748"/>
          <w:sz w:val="22"/>
        </w:rPr>
        <w:t>. Lapisan-lapisan awal yang beresolusi tinggi (</w:t>
      </w:r>
      <m:oMath xmlns:mml="http://www.w3.org/1998/Math/MathML">
        <m:r>
          <m:t>38×38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19×19</m:t>
        </m:r>
      </m:oMath>
      <w:r>
        <w:rPr>
          <w:rFonts w:ascii="Calibri" w:hAnsi="Calibri"/>
          <w:color w:val="2D3748"/>
          <w:sz w:val="22"/>
        </w:rPr>
        <w:t>) bertanggung jawab mendeteksi objek-objek berukuran mikro, sedangkan lapisan-lapisan dalam beresolusi rendah (</w:t>
      </w:r>
      <m:oMath xmlns:mml="http://www.w3.org/1998/Math/MathML">
        <m:r>
          <m:t>5×5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1×1</m:t>
        </m:r>
      </m:oMath>
      <w:r>
        <w:rPr>
          <w:rFonts w:ascii="Calibri" w:hAnsi="Calibri"/>
          <w:color w:val="2D3748"/>
          <w:sz w:val="22"/>
        </w:rPr>
        <w:t>) bertanggung jawab mendeteksi objek-objek berukuran besar. Dalam domain pertanian presisi—seperti deteksi serangga hama kumbang badak (</w:t>
      </w:r>
      <w:r>
        <w:rPr>
          <w:rFonts w:ascii="Calibri" w:hAnsi="Calibri"/>
          <w:i/>
          <w:color w:val="2D3748"/>
          <w:sz w:val="22"/>
        </w:rPr>
        <w:t>Oryctes rhinoceros</w:t>
      </w:r>
      <w:r>
        <w:rPr>
          <w:rFonts w:ascii="Calibri" w:hAnsi="Calibri"/>
          <w:color w:val="2D3748"/>
          <w:sz w:val="22"/>
        </w:rPr>
        <w:t xml:space="preserve">) pada daun sawit berdampingan dengan deteksi kanopi pohon secara utuh—konsep piramida fitur SSD menjadi dasar dari arsitektur modern seperti </w:t>
      </w:r>
      <w:r>
        <w:rPr>
          <w:rFonts w:ascii="Calibri" w:hAnsi="Calibri"/>
          <w:i/>
          <w:color w:val="2D3748"/>
          <w:sz w:val="22"/>
        </w:rPr>
        <w:t>Feature Pyramid Network</w:t>
      </w:r>
      <w:r>
        <w:rPr>
          <w:rFonts w:ascii="Calibri" w:hAnsi="Calibri"/>
          <w:color w:val="2D3748"/>
          <w:sz w:val="22"/>
        </w:rPr>
        <w:t xml:space="preserve"> (FPN) dan </w:t>
      </w:r>
      <w:r>
        <w:rPr>
          <w:rFonts w:ascii="Calibri" w:hAnsi="Calibri"/>
          <w:i/>
          <w:color w:val="2D3748"/>
          <w:sz w:val="22"/>
        </w:rPr>
        <w:t>RetinaNet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Multi-Scale Feature Maps dan Perancangan Default Boxes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SSD menggunakan 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 lapisan peta fitur konvolusional untuk memprediksi deteksi. Skala kotak default </w:t>
      </w:r>
      <m:oMath xmlns:mml="http://www.w3.org/1998/Math/MathML">
        <m:sSub>
          <m:e>
            <m:r>
              <m:t>s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untuk peta fitur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dirumuskan secara linear: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s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s</m:t>
            </m:r>
          </m:e>
          <m:sub>
            <m:r>
              <m:t>min</m:t>
            </m:r>
          </m:sub>
        </m:sSub>
        <m:r>
          <m:t>+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max</m:t>
                </m:r>
              </m:sub>
            </m:sSub>
            <m:r>
              <m:t>−</m:t>
            </m:r>
            <m:sSub>
              <m:e>
                <m:r>
                  <m:t>s</m:t>
                </m:r>
              </m:e>
              <m:sub>
                <m:r>
                  <m:t>min</m:t>
                </m:r>
              </m:sub>
            </m:sSub>
          </m:num>
          <m:den>
            <m:r>
              <m:t>m−1</m:t>
            </m:r>
          </m:den>
        </m:f>
        <m:r>
          <m:t>(k−1),</m:t>
        </m:r>
        <m:r>
          <m:t>k∈{1,…,m}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Dimana </w:t>
      </w:r>
      <m:oMath xmlns:mml="http://www.w3.org/1998/Math/MathML">
        <m:sSub>
          <m:e>
            <m:r>
              <m:t>s</m:t>
            </m:r>
          </m:e>
          <m:sub>
            <m:r>
              <m:t>min</m:t>
            </m:r>
          </m:sub>
        </m:sSub>
        <m:r>
          <m:t>=0.2</m:t>
        </m:r>
      </m:oMath>
      <w:r>
        <w:rPr>
          <w:rFonts w:ascii="Calibri" w:hAnsi="Calibri"/>
          <w:color w:val="2D3748"/>
          <w:sz w:val="22"/>
        </w:rPr>
        <w:t xml:space="preserve"> (skala terkecil mencakup 20% ukuran citra) dan </w:t>
      </w:r>
      <m:oMath xmlns:mml="http://www.w3.org/1998/Math/MathML">
        <m:sSub>
          <m:e>
            <m:r>
              <m:t>s</m:t>
            </m:r>
          </m:e>
          <m:sub>
            <m:r>
              <m:t>max</m:t>
            </m:r>
          </m:sub>
        </m:sSub>
        <m:r>
          <m:t>=0.9</m:t>
        </m:r>
      </m:oMath>
      <w:r>
        <w:rPr>
          <w:rFonts w:ascii="Calibri" w:hAnsi="Calibri"/>
          <w:color w:val="2D3748"/>
          <w:sz w:val="22"/>
        </w:rPr>
        <w:t xml:space="preserve"> (skala terbesar mencakup 90% ukuran citra).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setiap lapisan fitur, digunakan sekumpulan rasio aspek </w:t>
      </w:r>
      <m:oMath xmlns:mml="http://www.w3.org/1998/Math/MathML">
        <m:sSub>
          <m:e>
            <m:r>
              <m:t>a</m:t>
            </m:r>
          </m:e>
          <m:sub>
            <m:r>
              <m:t>r</m:t>
            </m:r>
          </m:sub>
        </m:sSub>
        <m:r>
          <m:t>∈{1,2,3,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}</m:t>
        </m:r>
      </m:oMath>
      <w:r>
        <w:rPr>
          <w:rFonts w:ascii="Calibri" w:hAnsi="Calibri"/>
          <w:color w:val="2D3748"/>
          <w:sz w:val="22"/>
        </w:rPr>
        <w:t>. Dimensi lebar (</w:t>
      </w:r>
      <m:oMath xmlns:mml="http://www.w3.org/1998/Math/MathML">
        <m:sSubSup>
          <m:e>
            <m:r>
              <m:t>w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rPr>
          <w:rFonts w:ascii="Calibri" w:hAnsi="Calibri"/>
          <w:color w:val="2D3748"/>
          <w:sz w:val="22"/>
        </w:rPr>
        <w:t>) dan tinggi (</w:t>
      </w:r>
      <m:oMath xmlns:mml="http://www.w3.org/1998/Math/MathML">
        <m:sSubSup>
          <m:e>
            <m:r>
              <m:t>h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rPr>
          <w:rFonts w:ascii="Calibri" w:hAnsi="Calibri"/>
          <w:color w:val="2D3748"/>
          <w:sz w:val="22"/>
        </w:rPr>
        <w:t>) kotak default dihitung melalui: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w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</m:e>
        </m:rad>
        <m:r>
          <m:t>,</m:t>
        </m:r>
        <m:sSubSup>
          <m:e>
            <m:r>
              <m:t>h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sSub>
                  <m:e>
                    <m:r>
                      <m:t>a</m:t>
                    </m:r>
                  </m:e>
                  <m:sub>
                    <m:r>
                      <m:t>r</m:t>
                    </m:r>
                  </m:sub>
                </m:sSub>
              </m:e>
            </m:rad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Khusus untuk rasio aspek </w:t>
      </w:r>
      <m:oMath xmlns:mml="http://www.w3.org/1998/Math/MathML">
        <m:sSub>
          <m:e>
            <m:r>
              <m:t>a</m:t>
            </m:r>
          </m:e>
          <m:sub>
            <m:r>
              <m:t>r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, ditambahkan satu kotak ekstra dengan skala geometrik:</w:t>
      </w:r>
    </w:p>
    <w:p>
      <w:pPr>
        <w:spacing w:before="120" w:after="120"/>
        <w:jc w:val="center"/>
      </w:pPr>
      <m:oMath xmlns:mml="http://www.w3.org/1998/Math/MathML">
        <m:sSubSup>
          <m:e>
            <m:r>
              <m:t>s</m:t>
            </m:r>
          </m:e>
          <m:sub>
            <m:r>
              <m:t>k</m:t>
            </m:r>
          </m:sub>
          <m:sup>
            <m:r>
              <m:t>′</m:t>
            </m:r>
          </m:sup>
        </m:sSubSup>
        <m:r>
          <m:t>=</m:t>
        </m:r>
        <m:rad>
          <m:radPr>
            <m:degHide m:val="on"/>
          </m:radPr>
          <m:deg/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k+1</m:t>
                </m:r>
              </m:sub>
            </m:sSub>
          </m:e>
        </m:rad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Sehingga setiap lokasi sel fitur memprediksi 4 atau 6 kotak default. Pada model standar SSD300 (masukan </w:t>
      </w:r>
      <m:oMath xmlns:mml="http://www.w3.org/1998/Math/MathML">
        <m:r>
          <m:t>300×300</m:t>
        </m:r>
      </m:oMath>
      <w:r>
        <w:rPr>
          <w:rFonts w:ascii="Calibri" w:hAnsi="Calibri"/>
          <w:color w:val="2D3748"/>
          <w:sz w:val="22"/>
        </w:rPr>
        <w:t>), total kotak default yang dievaluasi adalah: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38</m:t>
            </m:r>
          </m:e>
          <m:sup>
            <m:r>
              <m:t>2</m:t>
            </m:r>
          </m:sup>
        </m:sSup>
        <m:r>
          <m:t>×4+</m:t>
        </m:r>
        <m:sSup>
          <m:e>
            <m:r>
              <m:t>19</m:t>
            </m:r>
          </m:e>
          <m:sup>
            <m:r>
              <m:t>2</m:t>
            </m:r>
          </m:sup>
        </m:sSup>
        <m:r>
          <m:t>×6+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t>×6+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t>×6+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×4+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t>×4=5776+2166+600+150+36+4=</m:t>
        </m:r>
        <m:r>
          <m:rPr>
            <m:sty m:val="b"/>
          </m:rPr>
          <m:t>8.732</m:t>
        </m:r>
        <m:r>
          <m:rPr>
            <m:nor/>
          </m:rPr>
          <m:t> kotak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Strategi Pencocokan dan Hard Negative Mining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Selama fase pelatihan, setiap kotak ground truth dipasangkan dengan kotak default yang memiliki IoU tertinggi, kemudian setiap kotak default yang memiliki </w:t>
      </w:r>
      <m:oMath xmlns:mml="http://www.w3.org/1998/Math/MathML">
        <m:r>
          <m:rPr>
            <m:nor/>
          </m:rPr>
          <m:t>IoU</m:t>
        </m:r>
        <m:r>
          <m:t>≥0.5</m:t>
        </m:r>
      </m:oMath>
      <w:r>
        <w:rPr>
          <w:rFonts w:ascii="Calibri" w:hAnsi="Calibri"/>
          <w:color w:val="2D3748"/>
          <w:sz w:val="22"/>
        </w:rPr>
        <w:t xml:space="preserve"> terhadap kotak ground truth mana pun ditetapkan sebagai </w:t>
      </w:r>
      <w:r>
        <w:rPr>
          <w:rFonts w:ascii="Calibri" w:hAnsi="Calibri"/>
          <w:b/>
          <w:color w:val="2D3748"/>
          <w:sz w:val="22"/>
        </w:rPr>
        <w:t>sampel positif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Dari 8.732 kotak, biasanya hanya 10-50 kotak yang berstatus positif, sementara sisanya adalah </w:t>
      </w:r>
      <w:r>
        <w:rPr>
          <w:rFonts w:ascii="Calibri" w:hAnsi="Calibri"/>
          <w:b/>
          <w:color w:val="2D3748"/>
          <w:sz w:val="22"/>
        </w:rPr>
        <w:t>sampel negatif (latar belakang kosong)</w:t>
      </w:r>
      <w:r>
        <w:rPr>
          <w:rFonts w:ascii="Calibri" w:hAnsi="Calibri"/>
          <w:color w:val="2D3748"/>
          <w:sz w:val="22"/>
        </w:rPr>
        <w:t xml:space="preserve">. Disparitas ekstrem ini (rasio </w:t>
      </w:r>
      <m:oMath xmlns:mml="http://www.w3.org/1998/Math/MathML">
        <m:r>
          <m:t>&gt;100:1</m:t>
        </m:r>
      </m:oMath>
      <w:r>
        <w:rPr>
          <w:rFonts w:ascii="Calibri" w:hAnsi="Calibri"/>
          <w:color w:val="2D3748"/>
          <w:sz w:val="22"/>
        </w:rPr>
        <w:t>) dapat merusak kestabilan gradien.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Hard Negative Mining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Kotak-kotak negatif diurutkan berdasarkan nilai kerugian keyakinan (</w:t>
      </w:r>
      <w:r>
        <w:rPr>
          <w:rFonts w:ascii="Calibri" w:hAnsi="Calibri"/>
          <w:i/>
          <w:color w:val="2D3748"/>
          <w:sz w:val="22"/>
        </w:rPr>
        <w:t>confidence loss</w:t>
      </w:r>
      <w:r>
        <w:rPr>
          <w:rFonts w:ascii="Calibri" w:hAnsi="Calibri"/>
          <w:color w:val="2D3748"/>
          <w:sz w:val="22"/>
        </w:rPr>
        <w:t>) tertinggi (sampel negatif yang paling membingungkan model). Hanya diambil sampel negatif teratas dengan rasio maksimum terhadap sampel positif: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neg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</m:rPr>
                  <m:t>pos</m:t>
                </m:r>
              </m:sub>
            </m:sSub>
          </m:den>
        </m:f>
        <m:r>
          <m:t>≤3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Strategi ini mempercepat konvergensi dan menghasilkan akurasi klasifikasi latar belakang yang jauh lebih tangguh.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Formulasi Kerugian Gabungan (MultiBox Loss)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Fungsi kerugian terbobot SSD didefinisikan sebagai: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\mathcal{L}(x, c, l, g) = \frac{1}{N} \left( \mathcal{L}_{\text{conf}}(x, c) + \alpha \mathcal{L}_{\text{loc}}(x, l, g) \right)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Dimana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adalah jumlah kotak default positif yang cocok. Jika </w:t>
      </w:r>
      <m:oMath xmlns:mml="http://www.w3.org/1998/Math/MathML">
        <m:r>
          <m:t>N=0</m:t>
        </m:r>
      </m:oMath>
      <w:r>
        <w:rPr>
          <w:rFonts w:ascii="Calibri" w:hAnsi="Calibri"/>
          <w:color w:val="2D3748"/>
          <w:sz w:val="22"/>
        </w:rPr>
        <w:t>, loss diatur ke 0.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Confidence Loss $\mathcal{L}_{\text{conf}}$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Cross-Entropy multi-kelas atas probabilitas kelas yang diprediksi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conf</m:t>
            </m:r>
          </m:sub>
        </m:sSub>
        <m:r>
          <m:t>(x,c)=−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i∈</m:t>
            </m:r>
            <m:r>
              <m:rPr>
                <m:nor/>
              </m:rPr>
              <m:t>Pos</m:t>
            </m:r>
          </m:sub>
          <m:sup>
            <m:r>
              <m:t>N</m:t>
            </m:r>
          </m:sup>
          <m:e/>
        </m:nary>
        <m:sSubSup>
          <m:e>
            <m:r>
              <m:t>x</m:t>
            </m:r>
          </m:e>
          <m:sub>
            <m:r>
              <m:t>ij</m:t>
            </m:r>
          </m:sub>
          <m:sup>
            <m:r>
              <m:t>p</m:t>
            </m:r>
          </m:sup>
        </m:sSubSup>
        <m:r>
          <m:rPr>
            <m:sty m:val="p"/>
          </m:rPr>
          <m:t>log</m:t>
        </m:r>
        <m:r>
          <m:t>(</m:t>
        </m:r>
        <m:sSubSup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  <m:sup>
            <m:r>
              <m:t>p</m:t>
            </m:r>
          </m:sup>
        </m:sSubSup>
        <m:r>
          <m:t>)−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i∈</m:t>
            </m:r>
            <m:r>
              <m:rPr>
                <m:nor/>
              </m:rPr>
              <m:t>Neg</m:t>
            </m:r>
          </m:sub>
          <m:sup/>
          <m:e/>
        </m:nary>
        <m:r>
          <m:rPr>
            <m:sty m:val="p"/>
          </m:rPr>
          <m:t>log</m:t>
        </m:r>
        <m:r>
          <m:t>(</m:t>
        </m:r>
        <m:sSubSup>
          <m:e>
            <m:acc>
              <m:accPr>
                <m:chr m:val="̂"/>
              </m:accPr>
              <m:e>
                <m:r>
                  <m:t>c</m:t>
                </m:r>
              </m:e>
            </m:acc>
          </m:e>
          <m:sub>
            <m:r>
              <m:t>i</m:t>
            </m:r>
          </m:sub>
          <m:sup>
            <m:r>
              <m:t>0</m:t>
            </m:r>
          </m:sup>
        </m:sSubSup>
        <m:r>
          <m:t>)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Localization Loss $\mathcal{L}_{\text{loc}}$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Regresi Smooth L1 antara offset kotak prediksi 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 dan kotak ground truth </w:t>
      </w:r>
      <m:oMath xmlns:mml="http://www.w3.org/1998/Math/MathML">
        <m:r>
          <m:t>g</m:t>
        </m:r>
      </m:oMath>
      <w:r>
        <w:rPr>
          <w:rFonts w:ascii="Calibri" w:hAnsi="Calibri"/>
          <w:color w:val="2D3748"/>
          <w:sz w:val="22"/>
        </w:rPr>
        <w:t xml:space="preserve"> terhadap kotak default </w:t>
      </w:r>
      <m:oMath xmlns:mml="http://www.w3.org/1998/Math/MathML">
        <m:r>
          <m:t>d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loc</m:t>
            </m:r>
          </m:sub>
        </m:sSub>
        <m:r>
          <m:t>(x,l,g)=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i∈</m:t>
            </m:r>
            <m:r>
              <m:rPr>
                <m:nor/>
              </m:rPr>
              <m:t>Pos</m:t>
            </m:r>
          </m:sub>
          <m:sup>
            <m:r>
              <m:t>N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m:t>m∈{cx,cy,w,h}</m:t>
            </m:r>
          </m:sub>
          <m:sup/>
          <m:e/>
        </m:nary>
        <m:sSubSup>
          <m:e>
            <m:r>
              <m:t>x</m:t>
            </m:r>
          </m:e>
          <m:sub>
            <m:r>
              <m:t>ij</m:t>
            </m:r>
          </m:sub>
          <m:sup>
            <m:r>
              <m:t>k</m:t>
            </m:r>
          </m:sup>
        </m:sSubSup>
        <m:sSub>
          <m:e>
            <m:r>
              <m:rPr>
                <m:nor/>
              </m:rPr>
              <m:t>Smooth</m:t>
            </m:r>
          </m:e>
          <m:sub>
            <m:r>
              <m:t>L1</m:t>
            </m:r>
          </m:sub>
        </m:sSub>
        <m:r>
          <m:t>(</m:t>
        </m:r>
        <m:sSubSup>
          <m:e>
            <m:r>
              <m:t>l</m:t>
            </m:r>
          </m:e>
          <m:sub>
            <m:r>
              <m:t>i</m:t>
            </m:r>
          </m:sub>
          <m:sup>
            <m:r>
              <m:t>m</m:t>
            </m:r>
          </m:sup>
        </m:sSubSup>
        <m:r>
          <m:t>−</m:t>
        </m:r>
        <m:sSub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j</m:t>
            </m:r>
          </m:sub>
          <m:sup>
            <m:r>
              <m:t>m</m:t>
            </m:r>
          </m:sup>
        </m:sSubSup>
        <m:r>
          <m:t>)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Smooth</m:t>
            </m:r>
          </m:e>
          <m:sub>
            <m:r>
              <m:t>L1</m:t>
            </m:r>
          </m:sub>
        </m:sSub>
        <m:r>
          <m:t>(u)=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0.5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t>,</m:t>
              </m:r>
            </m:e>
            <m:e>
              <m:r>
                <m:rPr>
                  <m:nor/>
                </m:rPr>
                <m:t>jika </m:t>
              </m:r>
              <m:r>
                <m:t>|u|&lt;1</m:t>
              </m:r>
            </m:e>
          </m:mr>
          <m:mr>
            <m:e>
              <m:r>
                <m:t>|u|−0.5,</m:t>
              </m:r>
            </m:e>
            <m:e>
              <m:r>
                <m:rPr>
                  <m:nor/>
                </m:rPr>
                <m:t>lainnya</m:t>
              </m:r>
            </m:e>
          </m:mr>
        </m:m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7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single_shot_detector_ssd_multisca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Single Shot MultiBox Detector (SSD)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Base Network Truncated</w:t>
      </w:r>
      <w:r>
        <w:rPr>
          <w:rFonts w:ascii="Calibri" w:hAnsi="Calibri"/>
          <w:color w:val="2D3748"/>
          <w:sz w:val="22"/>
        </w:rPr>
        <w:t>: Ekstraksi representasi dasar citra.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Piramida Multi-Skala</w:t>
      </w:r>
      <w:r>
        <w:rPr>
          <w:rFonts w:ascii="Calibri" w:hAnsi="Calibri"/>
          <w:color w:val="2D3748"/>
          <w:sz w:val="22"/>
        </w:rPr>
        <w:t xml:space="preserve">: Dari resolusi tinggi </w:t>
      </w:r>
      <m:oMath xmlns:mml="http://www.w3.org/1998/Math/MathML">
        <m:r>
          <m:t>38×38</m:t>
        </m:r>
      </m:oMath>
      <w:r>
        <w:rPr>
          <w:rFonts w:ascii="Calibri" w:hAnsi="Calibri"/>
          <w:color w:val="2D3748"/>
          <w:sz w:val="22"/>
        </w:rPr>
        <w:t xml:space="preserve"> (Conv4_3) hingga resolusi terkompresi </w:t>
      </w:r>
      <m:oMath xmlns:mml="http://www.w3.org/1998/Math/MathML">
        <m:r>
          <m:t>1×1</m:t>
        </m:r>
      </m:oMath>
      <w:r>
        <w:rPr>
          <w:rFonts w:ascii="Calibri" w:hAnsi="Calibri"/>
          <w:color w:val="2D3748"/>
          <w:sz w:val="22"/>
        </w:rPr>
        <w:t xml:space="preserve"> (Conv11_2).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Penggabungan 8.732 Kotak Default</w:t>
      </w:r>
      <w:r>
        <w:rPr>
          <w:rFonts w:ascii="Calibri" w:hAnsi="Calibri"/>
          <w:color w:val="2D3748"/>
          <w:sz w:val="22"/>
        </w:rPr>
        <w:t>: Prediksi paralel terdistribusi untuk mendeteksi objek dari skala piksel mikro hingga makro.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bawah ini disajikan implementasi komputasi pembuatan kotak acuan default (</w:t>
      </w:r>
      <w:r>
        <w:rPr>
          <w:rFonts w:ascii="Calibri" w:hAnsi="Calibri"/>
          <w:i/>
          <w:color w:val="2D3748"/>
          <w:sz w:val="22"/>
        </w:rPr>
        <w:t>Default Boxes Generator</w:t>
      </w:r>
      <w:r>
        <w:rPr>
          <w:rFonts w:ascii="Calibri" w:hAnsi="Calibri"/>
          <w:color w:val="2D3748"/>
          <w:sz w:val="22"/>
        </w:rPr>
        <w:t xml:space="preserve">) dan algoritma </w:t>
      </w:r>
      <w:r>
        <w:rPr>
          <w:rFonts w:ascii="Calibri" w:hAnsi="Calibri"/>
          <w:i/>
          <w:color w:val="2D3748"/>
          <w:sz w:val="22"/>
        </w:rPr>
        <w:t>Hard Negative Mining</w:t>
      </w:r>
      <w:r>
        <w:rPr>
          <w:rFonts w:ascii="Calibri" w:hAnsi="Calibri"/>
          <w:color w:val="2D3748"/>
          <w:sz w:val="22"/>
        </w:rPr>
        <w:t xml:space="preserve"> berbasis PyTorch: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torch.nn.functional as F</w:t>
              <w:br/>
              <w:t>import math</w:t>
              <w:br/>
              <w:t>from typing import List, Tuple</w:t>
              <w:br/>
              <w:br/>
              <w:t>class SSDDefaultBoxesGenerator:</w:t>
              <w:br/>
              <w:t xml:space="preserve">    '''</w:t>
              <w:br/>
              <w:t xml:space="preserve">    Generator Kotak Acuan Default (Prior Boxes) Multi-Skala Berstandar SSD300.</w:t>
              <w:br/>
              <w:t xml:space="preserve">    '''</w:t>
              <w:br/>
              <w:t xml:space="preserve">    def __init__(self, img_size: int = 300):</w:t>
              <w:br/>
              <w:t xml:space="preserve">        self.img_size = img_size</w:t>
              <w:br/>
              <w:t xml:space="preserve">        self.feature_maps = [38, 19, 10, 5, 3, 1]</w:t>
              <w:br/>
              <w:t xml:space="preserve">        self.steps = [8, 16, 32, 64, 100, 300]</w:t>
              <w:br/>
              <w:t xml:space="preserve">        self.min_sizes = [30, 60, 111, 162, 213, 264]</w:t>
              <w:br/>
              <w:t xml:space="preserve">        self.max_sizes = [60, 111, 162, 213, 264, 315]</w:t>
              <w:br/>
              <w:t xml:space="preserve">        self.aspect_ratios = [[2], [2, 3], [2, 3], [2, 3], [2], [2]]</w:t>
              <w:br/>
              <w:t xml:space="preserve">        </w:t>
              <w:br/>
              <w:t xml:space="preserve">    def generate(self) -&gt; torch.Tensor:</w:t>
              <w:br/>
              <w:t xml:space="preserve">        boxes = []</w:t>
              <w:br/>
              <w:t xml:space="preserve">        for k, f_k in enumerate(self.feature_maps):</w:t>
              <w:br/>
              <w:t xml:space="preserve">            step = self.steps[k]</w:t>
              <w:br/>
              <w:t xml:space="preserve">            for i in range(f_k):</w:t>
              <w:br/>
              <w:t xml:space="preserve">                for j in range(f_k):</w:t>
              <w:br/>
              <w:t xml:space="preserve">                    cx = (j + 0.5) * step / self.img_size</w:t>
              <w:br/>
              <w:t xml:space="preserve">                    cy = (i + 0.5) * step / self.img_size</w:t>
              <w:br/>
              <w:t xml:space="preserve">                    </w:t>
              <w:br/>
              <w:t xml:space="preserve">                    # Kotak rasio 1 (ukuran min)</w:t>
              <w:br/>
              <w:t xml:space="preserve">                    s_k = self.min_sizes[k] / self.img_size</w:t>
              <w:br/>
              <w:t xml:space="preserve">                    boxes.append([cx, cy, s_k, s_k])</w:t>
              <w:br/>
              <w:t xml:space="preserve">                    </w:t>
              <w:br/>
              <w:t xml:space="preserve">                    # Kotak rasio 1 ekstra (ukuran geometrik)</w:t>
              <w:br/>
              <w:t xml:space="preserve">                    s_prime = math.sqrt(s_k * (self.max_sizes[k] / self.img_size))</w:t>
              <w:br/>
              <w:t xml:space="preserve">                    boxes.append([cx, cy, s_prime, s_prime])</w:t>
              <w:br/>
              <w:t xml:space="preserve">                    </w:t>
              <w:br/>
              <w:t xml:space="preserve">                    # Kotak dengan berbagai rasio aspek</w:t>
              <w:br/>
              <w:t xml:space="preserve">                    for ar in self.aspect_ratios[k]:</w:t>
              <w:br/>
              <w:t xml:space="preserve">                        w = s_k * math.sqrt(ar)</w:t>
              <w:br/>
              <w:t xml:space="preserve">                        h = s_k / math.sqrt(ar)</w:t>
              <w:br/>
              <w:t xml:space="preserve">                        boxes.append([cx, cy, w, h])</w:t>
              <w:br/>
              <w:t xml:space="preserve">                        boxes.append([cx, cy, h, w])</w:t>
              <w:br/>
              <w:t xml:space="preserve">                        </w:t>
              <w:br/>
              <w:t xml:space="preserve">        return torch.tensor(boxes, dtype=torch.float32) # (Total Boxes, 4)</w:t>
              <w:br/>
              <w:br/>
              <w:t>def hard_negative_mining(conf_loss: torch.Tensor, pos_mask: torch.Tensor, neg_pos_ratio: int = 3) -&gt; torch.Tensor:</w:t>
              <w:br/>
              <w:t xml:space="preserve">    '''</w:t>
              <w:br/>
              <w:t xml:space="preserve">    Penyaringan sampel negatif berdasarkan tingkat loss tertinggi.</w:t>
              <w:br/>
              <w:t xml:space="preserve">    conf_loss: Tensor (Batch, Num_Boxes) nilai cross-entropy per kotak</w:t>
              <w:br/>
              <w:t xml:space="preserve">    pos_mask: Tensor Boolean (Batch, Num_Boxes)</w:t>
              <w:br/>
              <w:t xml:space="preserve">    return: Tensor Boolean neg_mask yang terpilih</w:t>
              <w:br/>
              <w:t xml:space="preserve">    '''</w:t>
              <w:br/>
              <w:t xml:space="preserve">    num_pos = pos_mask.long().sum(dim=1, keepdim=True)</w:t>
              <w:br/>
              <w:t xml:space="preserve">    num_neg = torch.clamp(num_pos * neg_pos_ratio, min=1)</w:t>
              <w:br/>
              <w:t xml:space="preserve">    </w:t>
              <w:br/>
              <w:t xml:space="preserve">    # Abaikan loss sampel positif dengan memberi nilai -inf</w:t>
              <w:br/>
              <w:t xml:space="preserve">    conf_loss_neg = conf_loss.clone()</w:t>
              <w:br/>
              <w:t xml:space="preserve">    conf_loss_neg[pos_mask] = -float('inf')</w:t>
              <w:br/>
              <w:t xml:space="preserve">    </w:t>
              <w:br/>
              <w:t xml:space="preserve">    # Urutkan dari loss terbesar</w:t>
              <w:br/>
              <w:t xml:space="preserve">    _, indices = conf_loss_neg.sort(dim=1, descending=True)</w:t>
              <w:br/>
              <w:t xml:space="preserve">    _, rank = indices.sort(dim=1)</w:t>
              <w:br/>
              <w:t xml:space="preserve">    </w:t>
              <w:br/>
              <w:t xml:space="preserve">    neg_mask = rank &lt; num_neg</w:t>
              <w:br/>
              <w:t xml:space="preserve">    return neg_mask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Deteksi Serangan Kumbang Badak (*Oryctes rhinoceros*) pada Tanaman Kelapa Sawit Belum Menghasilkan (TBM)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Kumbang badak (</w:t>
      </w:r>
      <w:r>
        <w:rPr>
          <w:rFonts w:ascii="Calibri" w:hAnsi="Calibri"/>
          <w:i/>
          <w:color w:val="2D3748"/>
          <w:sz w:val="22"/>
        </w:rPr>
        <w:t>Oryctes rhinoceros</w:t>
      </w:r>
      <w:r>
        <w:rPr>
          <w:rFonts w:ascii="Calibri" w:hAnsi="Calibri"/>
          <w:color w:val="2D3748"/>
          <w:sz w:val="22"/>
        </w:rPr>
        <w:t>) adalah hama pemakan pucuk daun muda kelapa sawit yang paling destruktif pada fase TBM (umur 1-3 tahun). Kumbang dewasa mengebor pangkal pupus daun, menyebabkan daun muda patah berbentuk huruf "V" yang khas.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Tantangan Deteksi Citra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citra kanopi utuh beresolusi tinggi yang diambil dari kamera tiang pemantau: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Lubang gerekan kumbang berukuran sangat kecil (hanya </w:t>
      </w:r>
      <m:oMath xmlns:mml="http://www.w3.org/1998/Math/MathML">
        <m:r>
          <m:t>15×15</m:t>
        </m:r>
      </m:oMath>
      <w:r>
        <w:rPr>
          <w:rFonts w:ascii="Calibri" w:hAnsi="Calibri"/>
          <w:color w:val="2D3748"/>
          <w:sz w:val="22"/>
        </w:rPr>
        <w:t xml:space="preserve"> piksel pada citra).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Pucuk daun yang patah berukuran sedang (</w:t>
      </w:r>
      <m:oMath xmlns:mml="http://www.w3.org/1998/Math/MathML">
        <m:r>
          <m:t>120×80</m:t>
        </m:r>
      </m:oMath>
      <w:r>
        <w:rPr>
          <w:rFonts w:ascii="Calibri" w:hAnsi="Calibri"/>
          <w:color w:val="2D3748"/>
          <w:sz w:val="22"/>
        </w:rPr>
        <w:t xml:space="preserve"> piksel).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Seluruh tajuk tanaman berukuran besar (</w:t>
      </w:r>
      <m:oMath xmlns:mml="http://www.w3.org/1998/Math/MathML">
        <m:r>
          <m:t>400×400</m:t>
        </m:r>
      </m:oMath>
      <w:r>
        <w:rPr>
          <w:rFonts w:ascii="Calibri" w:hAnsi="Calibri"/>
          <w:color w:val="2D3748"/>
          <w:sz w:val="22"/>
        </w:rPr>
        <w:t xml:space="preserve"> piksel).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Keunggulan Solusi SSD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Lapisan fitur resolusi tinggi SSD (Conv4_3) mampu melokalisasi lubang gerekan mikro yang biasanya hilang pada detektor resolusi tunggal.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Lapisan fitur menengah dan dalam (Conv8_2 dan Conv10_2) secara simultan mengonfirmasi orientasi patahan pelepah huruf "V" pada konteks tajuk tanaman utuh.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Sistem menghasilkan akurasi deteksi dini serangan kumbang sebesar </w:t>
      </w:r>
      <w:r>
        <w:rPr>
          <w:rFonts w:ascii="Calibri" w:hAnsi="Calibri"/>
          <w:b/>
          <w:color w:val="2D3748"/>
          <w:sz w:val="22"/>
        </w:rPr>
        <w:t>92.6%</w:t>
      </w:r>
      <w:r>
        <w:rPr>
          <w:rFonts w:ascii="Calibri" w:hAnsi="Calibri"/>
          <w:color w:val="2D3748"/>
          <w:sz w:val="22"/>
        </w:rPr>
        <w:t>, memungkinkan aplikasi insektisida presisi terfokus hanya pada pohon yang terserang.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karakteristik operasional SSD terhadap detektor lainnya: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Metrik Evaluasi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Faster R-CNN (ResNet-50)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YOLOv4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SSD300 (VGG-16)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SSD512 (VGG-16)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Tipe Paradigma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Two-Stage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Single-Stage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Single-Stage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Single-Stage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Total Anchor / Default Boxes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~2.000 (setelah RPN)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~22.000 (Multi-scale)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8.732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24.564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Kecepatan Inferensi (FPS T4)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~18 FPS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~65 FPS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~46 FPS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~22 FPS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mAP (Pascal VOC 2007)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76.4%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82.8%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77.2%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79.8%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Sensitivitas Objek Mikro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Tinggi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Cukup Tinggi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Tinggi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Gradien Conv4_3 Meledak (Gradient Explosion)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loss menjadi </w:t>
            </w:r>
            <w:r>
              <w:rPr>
                <w:rFonts w:ascii="Calibri" w:hAnsi="Calibri"/>
                <w:i/>
                <w:color w:val="2D3748"/>
                <w:sz w:val="19"/>
              </w:rPr>
              <w:t>NaN</w:t>
            </w:r>
            <w:r>
              <w:rPr>
                <w:rFonts w:ascii="Calibri" w:hAnsi="Calibri"/>
                <w:color w:val="2D3748"/>
                <w:sz w:val="19"/>
              </w:rPr>
              <w:t xml:space="preserve"> di epoch awal pelatihan.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Conv4_3 memiliki skala norma aktivasi yang jauh lebih besar dibanding lapisan dalam lainnya karena letaknya dekat dengan stem.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normalisasi L2 per kanal (</w:t>
            </w:r>
            <w:r>
              <w:rPr>
                <w:rFonts w:ascii="Calibri" w:hAnsi="Calibri"/>
                <w:i/>
                <w:color w:val="2D3748"/>
                <w:sz w:val="19"/>
              </w:rPr>
              <w:t>L2 Normalization Layer</w:t>
            </w:r>
            <w:r>
              <w:rPr>
                <w:rFonts w:ascii="Calibri" w:hAnsi="Calibri"/>
                <w:color w:val="2D3748"/>
                <w:sz w:val="19"/>
              </w:rPr>
              <w:t>) dengan parameter skala yang dapat dipelajari (</w:t>
            </w:r>
            <m:oMath xmlns:mml="http://www.w3.org/1998/Math/MathML">
              <m:r>
                <m:t>γ≈20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Matching Collapse saat Training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ada satu pun kotak default yang cocok dengan ground truth (</w:t>
            </w:r>
            <m:oMath xmlns:mml="http://www.w3.org/1998/Math/MathML">
              <m:r>
                <m:t>N=0</m:t>
              </m:r>
            </m:oMath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Objek ground truth memiliki rasio aspek atau ukuran yang ekstrem di luar batas cakupan kotak default SSD.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Perkaya variasi rasio aspek kotak default dan tambahkan augmentasi </w:t>
            </w:r>
            <w:r>
              <w:rPr>
                <w:rFonts w:ascii="Calibri" w:hAnsi="Calibri"/>
                <w:i/>
                <w:color w:val="2D3748"/>
                <w:sz w:val="19"/>
              </w:rPr>
              <w:t>RandomExpand</w:t>
            </w:r>
            <w:r>
              <w:rPr>
                <w:rFonts w:ascii="Calibri" w:hAnsi="Calibri"/>
                <w:color w:val="2D3748"/>
                <w:sz w:val="19"/>
              </w:rPr>
              <w:t xml:space="preserve"> / </w:t>
            </w:r>
            <w:r>
              <w:rPr>
                <w:rFonts w:ascii="Calibri" w:hAnsi="Calibri"/>
                <w:i/>
                <w:color w:val="2D3748"/>
                <w:sz w:val="19"/>
              </w:rPr>
              <w:t>RandomCrop</w:t>
            </w:r>
            <w:r>
              <w:rPr>
                <w:rFonts w:ascii="Calibri" w:hAnsi="Calibri"/>
                <w:color w:val="2D3748"/>
                <w:sz w:val="19"/>
              </w:rPr>
              <w:t xml:space="preserve"> berbasis Jaccard overlap.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Hard Negative Mining Mengabaikan Positif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Akurasi klasifikasi latar belakang tinggi tetapi recall objek mendekati nol.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Masking sampel positif keliru sehingga kotak positif ikut tertekan dalam penapisan negatif.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Pastikan </w:t>
            </w:r>
            <w:r>
              <w:rPr>
                <w:rFonts w:ascii="Consolas" w:hAnsi="Consolas"/>
                <w:color w:val="9C1A1A"/>
                <w:sz w:val="19"/>
              </w:rPr>
              <w:t>pos_mask</w:t>
            </w:r>
            <w:r>
              <w:rPr>
                <w:rFonts w:ascii="Calibri" w:hAnsi="Calibri"/>
                <w:color w:val="2D3748"/>
                <w:sz w:val="19"/>
              </w:rPr>
              <w:t xml:space="preserve"> diterapkan secara ketat sebelum perankingan loss negatif (</w:t>
            </w:r>
            <w:r>
              <w:rPr>
                <w:rFonts w:ascii="Consolas" w:hAnsi="Consolas"/>
                <w:color w:val="9C1A1A"/>
                <w:sz w:val="19"/>
              </w:rPr>
              <w:t>conf_loss_neg[pos_mask] = -inf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Kalkulasi Kotak Default</w:t>
      </w:r>
      <w:r>
        <w:rPr>
          <w:rFonts w:ascii="Calibri" w:hAnsi="Calibri"/>
          <w:color w:val="2D3748"/>
          <w:sz w:val="22"/>
        </w:rPr>
        <w:t>: Hitung jumlah kotak default yang dihasilkan oleh lapisan fitur ke-3 (</w:t>
      </w:r>
      <m:oMath xmlns:mml="http://www.w3.org/1998/Math/MathML">
        <m:r>
          <m:t>10×10</m:t>
        </m:r>
      </m:oMath>
      <w:r>
        <w:rPr>
          <w:rFonts w:ascii="Calibri" w:hAnsi="Calibri"/>
          <w:color w:val="2D3748"/>
          <w:sz w:val="22"/>
        </w:rPr>
        <w:t>) pada SSD300 jika setiap sel memiliki 6 rasio aspek.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Luas spasial: </w:t>
      </w:r>
      <m:oMath xmlns:mml="http://www.w3.org/1998/Math/MathML">
        <m:r>
          <m:t>10×10=100</m:t>
        </m:r>
      </m:oMath>
      <w:r>
        <w:rPr>
          <w:rFonts w:ascii="Calibri" w:hAnsi="Calibri"/>
          <w:color w:val="2D3748"/>
          <w:sz w:val="22"/>
        </w:rPr>
        <w:t xml:space="preserve"> sel.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>Kotak per sel: 6 kotak.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Total kotak lapisan ke-3: </w:t>
      </w:r>
      <m:oMath xmlns:mml="http://www.w3.org/1998/Math/MathML">
        <m:r>
          <m:t>100×6=</m:t>
        </m:r>
        <m:r>
          <m:rPr>
            <m:sty m:val="b"/>
          </m:rPr>
          <m:t>600</m:t>
        </m:r>
        <m:r>
          <m:rPr>
            <m:nor/>
          </m:rPr>
          <m:t> kotak default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(Konseptual)</w:t>
      </w:r>
      <w:r>
        <w:rPr>
          <w:rFonts w:ascii="Calibri" w:hAnsi="Calibri"/>
          <w:color w:val="2D3748"/>
          <w:sz w:val="22"/>
        </w:rPr>
        <w:t xml:space="preserve">: Mengapa arsitektur SSD menghentikan penggunaan </w:t>
      </w:r>
      <w:r>
        <w:rPr>
          <w:rFonts w:ascii="Calibri" w:hAnsi="Calibri"/>
          <w:i/>
          <w:color w:val="2D3748"/>
          <w:sz w:val="22"/>
        </w:rPr>
        <w:t>Fully-Connected layers</w:t>
      </w:r>
      <w:r>
        <w:rPr>
          <w:rFonts w:ascii="Calibri" w:hAnsi="Calibri"/>
          <w:color w:val="2D3748"/>
          <w:sz w:val="22"/>
        </w:rPr>
        <w:t xml:space="preserve"> dari backbone VGG-16 dan menggantinya dengan lapisan konvolusional murni? Jelaskan dampaknya terhadap kecepatan inferensi dan fleksibilitas resolusi masukan.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Rancang modul PyTorch </w:t>
      </w:r>
      <w:r>
        <w:rPr>
          <w:rFonts w:ascii="Consolas" w:hAnsi="Consolas"/>
          <w:color w:val="9C1A1A"/>
          <w:sz w:val="19"/>
        </w:rPr>
        <w:t>L2Norm</w:t>
      </w:r>
      <w:r>
        <w:rPr>
          <w:rFonts w:ascii="Calibri" w:hAnsi="Calibri"/>
          <w:color w:val="2D3748"/>
          <w:sz w:val="22"/>
        </w:rPr>
        <w:t xml:space="preserve"> yang menormalisasi setiap vektor aktivasi spasial pada lapisan Conv4_3 sepanjang dimensi kanal dan mengalikannya dengan parameter bobot skalar terpelajari </w:t>
      </w:r>
      <m:oMath xmlns:mml="http://www.w3.org/1998/Math/MathML">
        <m:r>
          <m:t>γ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12.9: Faster R-CNN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telah menuntaskan pembahasan detektor satu tahap berkecepatan tinggi: YOLO (Modul 12.7) dan SSD (Modul 12.8). Namun, dalam aplikasi medis, inspeksi kegagalan struktur mekanis pabrik, atau pemetaan ilmiah di mana </w:t>
      </w:r>
      <w:r>
        <w:rPr>
          <w:rFonts w:ascii="Calibri" w:hAnsi="Calibri"/>
          <w:b/>
          <w:color w:val="2D3748"/>
          <w:sz w:val="22"/>
        </w:rPr>
        <w:t>presisi batas koordinat dan minimasi False Positive</w:t>
      </w:r>
      <w:r>
        <w:rPr>
          <w:rFonts w:ascii="Calibri" w:hAnsi="Calibri"/>
          <w:color w:val="2D3748"/>
          <w:sz w:val="22"/>
        </w:rPr>
        <w:t xml:space="preserve"> jauh lebih krusial daripada sekadar kecepatan frame tinggi, pendekatan dua tahap (</w:t>
      </w:r>
      <w:r>
        <w:rPr>
          <w:rFonts w:ascii="Calibri" w:hAnsi="Calibri"/>
          <w:i/>
          <w:color w:val="2D3748"/>
          <w:sz w:val="22"/>
        </w:rPr>
        <w:t>two-stage</w:t>
      </w:r>
      <w:r>
        <w:rPr>
          <w:rFonts w:ascii="Calibri" w:hAnsi="Calibri"/>
          <w:color w:val="2D3748"/>
          <w:sz w:val="22"/>
        </w:rPr>
        <w:t>) tetap menjadi rujukan utama.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12.9: Faster R-CNN (Regions with Convolutional Neural Networks)</w:t>
      </w:r>
      <w:r>
        <w:rPr>
          <w:rFonts w:ascii="Calibri" w:hAnsi="Calibri"/>
          <w:color w:val="2D3748"/>
          <w:sz w:val="22"/>
        </w:rPr>
        <w:t xml:space="preserve">, kita akan membedah arsitektur dua tahap terpopuler: mekanisme kerja </w:t>
      </w:r>
      <w:r>
        <w:rPr>
          <w:rFonts w:ascii="Calibri" w:hAnsi="Calibri"/>
          <w:i/>
          <w:color w:val="2D3748"/>
          <w:sz w:val="22"/>
        </w:rPr>
        <w:t>Region Proposal Network</w:t>
      </w:r>
      <w:r>
        <w:rPr>
          <w:rFonts w:ascii="Calibri" w:hAnsi="Calibri"/>
          <w:color w:val="2D3748"/>
          <w:sz w:val="22"/>
        </w:rPr>
        <w:t xml:space="preserve"> (RPN), penyelarasan fitur kuantisasi halus melalui </w:t>
      </w:r>
      <w:r>
        <w:rPr>
          <w:rFonts w:ascii="Calibri" w:hAnsi="Calibri"/>
          <w:i/>
          <w:color w:val="2D3748"/>
          <w:sz w:val="22"/>
        </w:rPr>
        <w:t>RoIAlign</w:t>
      </w:r>
      <w:r>
        <w:rPr>
          <w:rFonts w:ascii="Calibri" w:hAnsi="Calibri"/>
          <w:color w:val="2D3748"/>
          <w:sz w:val="22"/>
        </w:rPr>
        <w:t xml:space="preserve">, dan integrasi </w:t>
      </w:r>
      <w:r>
        <w:rPr>
          <w:rFonts w:ascii="Calibri" w:hAnsi="Calibri"/>
          <w:i/>
          <w:color w:val="2D3748"/>
          <w:sz w:val="22"/>
        </w:rPr>
        <w:t>multi-task loss head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Liu, W., et al. (2016). </w:t>
      </w:r>
      <w:r>
        <w:rPr>
          <w:rFonts w:ascii="Calibri" w:hAnsi="Calibri"/>
          <w:i/>
          <w:color w:val="2D3748"/>
          <w:sz w:val="22"/>
        </w:rPr>
        <w:t>SSD: Single shot multibox detector</w:t>
      </w:r>
      <w:r>
        <w:rPr>
          <w:rFonts w:ascii="Calibri" w:hAnsi="Calibri"/>
          <w:color w:val="2D3748"/>
          <w:sz w:val="22"/>
        </w:rPr>
        <w:t>. European Conference on Computer Vision (ECCV), 21-37.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Lin, T. Y., Dollár, P., Girshick, R., He, K., Hariharan, B., &amp; Belongie, S. (2017). </w:t>
      </w:r>
      <w:r>
        <w:rPr>
          <w:rFonts w:ascii="Calibri" w:hAnsi="Calibri"/>
          <w:i/>
          <w:color w:val="2D3748"/>
          <w:sz w:val="22"/>
        </w:rPr>
        <w:t>Feature pyramid networks for object detection</w:t>
      </w:r>
      <w:r>
        <w:rPr>
          <w:rFonts w:ascii="Calibri" w:hAnsi="Calibri"/>
          <w:color w:val="2D3748"/>
          <w:sz w:val="22"/>
        </w:rPr>
        <w:t>. Proceedings of the IEEE Conference on Computer Vision and Pattern Recognition (CVPR), 2117-2125.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Redmon, J., &amp; Farhadi, A. (2018). </w:t>
      </w:r>
      <w:r>
        <w:rPr>
          <w:rFonts w:ascii="Calibri" w:hAnsi="Calibri"/>
          <w:i/>
          <w:color w:val="2D3748"/>
          <w:sz w:val="22"/>
        </w:rPr>
        <w:t>YOLOv3: An incremental improvement</w:t>
      </w:r>
      <w:r>
        <w:rPr>
          <w:rFonts w:ascii="Calibri" w:hAnsi="Calibri"/>
          <w:color w:val="2D3748"/>
          <w:sz w:val="22"/>
        </w:rPr>
        <w:t>. arXiv preprint arXiv:1804.02767.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Girshick, R. (2015). </w:t>
      </w:r>
      <w:r>
        <w:rPr>
          <w:rFonts w:ascii="Calibri" w:hAnsi="Calibri"/>
          <w:i/>
          <w:color w:val="2D3748"/>
          <w:sz w:val="22"/>
        </w:rPr>
        <w:t>Fast R-CNN</w:t>
      </w:r>
      <w:r>
        <w:rPr>
          <w:rFonts w:ascii="Calibri" w:hAnsi="Calibri"/>
          <w:color w:val="2D3748"/>
          <w:sz w:val="22"/>
        </w:rPr>
        <w:t>. Proceedings of the IEEE International Conference on Computer Vision (ICCV), 1440-1448.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Howard, A. G., et al. (2017). </w:t>
      </w:r>
      <w:r>
        <w:rPr>
          <w:rFonts w:ascii="Calibri" w:hAnsi="Calibri"/>
          <w:i/>
          <w:color w:val="2D3748"/>
          <w:sz w:val="22"/>
        </w:rPr>
        <w:t>MobileNets: Efficient convolutional neural networks for mobile vision applications</w:t>
      </w:r>
      <w:r>
        <w:rPr>
          <w:rFonts w:ascii="Calibri" w:hAnsi="Calibri"/>
          <w:color w:val="2D3748"/>
          <w:sz w:val="22"/>
        </w:rPr>
        <w:t>. arXiv preprint arXiv:1704.04861.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