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13.4.1: Deteksi Penyakit Daun</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13.4.1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12.10 (Training Dataset Citra) / Arsitektur CNN &amp; Object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C4 (Menganalisis), C5 (Mengevaluasi), C6 (Mencipta)</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Memahami karakteristik visual dan siklus hidup patogen utama daun kelapa sawit (Curvularia maculans, Pestalotiopsis, dan Corticium salmonicolor).</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Menurunkan formulasi matematis Disease Severity Index (DSI) dan rasio luas lesi nekrotik berbasis analisis piksel terkuantisasi.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Membangun pipeline terintegrasi: pra-segmentasi kanopi daun, inferensi model deep learning, dan kuantifikasi keparahan.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Menerapkan pohon keputusan proteksi tanaman terpadu untuk menerjemahkan hasil inferensi AI menjadi instruksi agronomi operasional.</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Deteksi Penyakit Daun.</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Dalam agroindustri kelapa sawit modern, kesehatan daun bibit di pembibitan (</w:t>
      </w:r>
      <w:r>
        <w:rPr>
          <w:rFonts w:ascii="Calibri" w:hAnsi="Calibri"/>
          <w:i/>
          <w:color w:val="2D3748"/>
          <w:sz w:val="22"/>
        </w:rPr>
        <w:t>nursery</w:t>
      </w:r>
      <w:r>
        <w:rPr>
          <w:rFonts w:ascii="Calibri" w:hAnsi="Calibri"/>
          <w:color w:val="2D3748"/>
          <w:sz w:val="22"/>
        </w:rPr>
        <w:t xml:space="preserve">) dan tanaman menghasilkan di lapangan merupakan indikator biologis paling sensitif terhadap produktivitas tandan buah segar (TBS). Penyakit bercak daun yang dipicu oleh jamur patogen seperti </w:t>
      </w:r>
      <w:r>
        <w:rPr>
          <w:rFonts w:ascii="Calibri" w:hAnsi="Calibri"/>
          <w:i/>
          <w:color w:val="2D3748"/>
          <w:sz w:val="22"/>
        </w:rPr>
        <w:t>Curvularia maculans</w:t>
      </w:r>
      <w:r>
        <w:rPr>
          <w:rFonts w:ascii="Calibri" w:hAnsi="Calibri"/>
          <w:color w:val="2D3748"/>
          <w:sz w:val="22"/>
        </w:rPr>
        <w:t xml:space="preserve"> dan hawar daun </w:t>
      </w:r>
      <w:r>
        <w:rPr>
          <w:rFonts w:ascii="Calibri" w:hAnsi="Calibri"/>
          <w:i/>
          <w:color w:val="2D3748"/>
          <w:sz w:val="22"/>
        </w:rPr>
        <w:t>Pestalotiopsis microspora</w:t>
      </w:r>
      <w:r>
        <w:rPr>
          <w:rFonts w:ascii="Calibri" w:hAnsi="Calibri"/>
          <w:color w:val="2D3748"/>
          <w:sz w:val="22"/>
        </w:rPr>
        <w:t xml:space="preserve"> dapat menurunkan laju fotosintesis kanopi secara drastis hingga lebih dari </w:t>
      </w:r>
      <m:oMath xmlns:mml="http://www.w3.org/1998/Math/MathML">
        <m:r>
          <m:t>35%</m:t>
        </m:r>
      </m:oMath>
      <w:r>
        <w:rPr>
          <w:rFonts w:ascii="Calibri" w:hAnsi="Calibri"/>
          <w:color w:val="2D3748"/>
          <w:sz w:val="22"/>
        </w:rPr>
        <w:t>. Jika tidak terdeteksi pada fase dini, spora jamur akan menyebar cepat ke seluruh blok pembibitan melalui percikan air hujan dan tiupan angin.</w:t>
      </w:r>
    </w:p>
    <w:p>
      <w:pPr>
        <w:spacing w:before="0" w:after="80" w:line="276" w:lineRule="auto"/>
      </w:pPr>
      <w:r>
        <w:rPr>
          <w:rFonts w:ascii="Calibri" w:hAnsi="Calibri"/>
          <w:color w:val="2D3748"/>
          <w:sz w:val="22"/>
        </w:rPr>
        <w:t>Inspeksi manual oleh petugas proteksi tanaman menghadapi keterbatasan besar: subjektivitas penilaian manusia dalam mengestimasi persentase keparahan serangan, keterlambatan pelaporan data kertas ke kantor kebun, serta variasi visual gejala patogen yang kerap tertukar dengan defisiensi hara (seperti defisiensi Kalium atau Magnesium).</w:t>
      </w:r>
    </w:p>
    <w:p>
      <w:pPr>
        <w:spacing w:before="0" w:after="80" w:line="276" w:lineRule="auto"/>
      </w:pPr>
      <w:r>
        <w:rPr>
          <w:rFonts w:ascii="Calibri" w:hAnsi="Calibri"/>
          <w:color w:val="2D3748"/>
          <w:sz w:val="22"/>
        </w:rPr>
        <w:t xml:space="preserve">Modul 13.4.1 ini menyajikan studi kasus implementasi lapangan nyata: merancang </w:t>
      </w:r>
      <w:r>
        <w:rPr>
          <w:rFonts w:ascii="Calibri" w:hAnsi="Calibri"/>
          <w:b/>
          <w:color w:val="2D3748"/>
          <w:sz w:val="22"/>
        </w:rPr>
        <w:t>Sistem Terpadu Deteksi Penyakit Daun Real-Time pada Perangkat Genggam Lapangan</w:t>
      </w:r>
      <w:r>
        <w:rPr>
          <w:rFonts w:ascii="Calibri" w:hAnsi="Calibri"/>
          <w:color w:val="2D3748"/>
          <w:sz w:val="22"/>
        </w:rPr>
        <w:t>. Sistem ini tidak hanya mengklasifikasikan spesies patogen jamur, melainkan melakukan segmentasi lesi nekrotik, mengukur indeks keparahan penyakit (</w:t>
      </w:r>
      <w:r>
        <w:rPr>
          <w:rFonts w:ascii="Calibri" w:hAnsi="Calibri"/>
          <w:i/>
          <w:color w:val="2D3748"/>
          <w:sz w:val="22"/>
        </w:rPr>
        <w:t>Disease Severity Index</w:t>
      </w:r>
      <w:r>
        <w:rPr>
          <w:rFonts w:ascii="Calibri" w:hAnsi="Calibri"/>
          <w:color w:val="2D3748"/>
          <w:sz w:val="22"/>
        </w:rPr>
        <w:t xml:space="preserve"> / DSI), dan secara otomatis mengeksekusi </w:t>
      </w:r>
      <w:r>
        <w:rPr>
          <w:rFonts w:ascii="Calibri" w:hAnsi="Calibri"/>
          <w:b/>
          <w:color w:val="2D3748"/>
          <w:sz w:val="22"/>
        </w:rPr>
        <w:t>pohon keputusan agronomi (*agronomic decision tree*)</w:t>
      </w:r>
      <w:r>
        <w:rPr>
          <w:rFonts w:ascii="Calibri" w:hAnsi="Calibri"/>
          <w:color w:val="2D3748"/>
          <w:sz w:val="22"/>
        </w:rPr>
        <w:t xml:space="preserve"> untuk menghasilkan rekomendasi dosis fungisida dan protokol karantina tanaman.</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Kuantifikasi Luas Lesi Nekrotik dan Disease Severity Index (DSI)</w:t>
      </w:r>
    </w:p>
    <w:p>
      <w:pPr>
        <w:spacing w:before="0" w:after="80" w:line="276" w:lineRule="auto"/>
      </w:pPr>
      <w:r>
        <w:rPr>
          <w:rFonts w:ascii="Calibri" w:hAnsi="Calibri"/>
          <w:color w:val="2D3748"/>
          <w:sz w:val="22"/>
        </w:rPr>
        <w:t>Dalam patologi tanaman kuantitatif, tingkat keparahan infeksi visual dihitung berdasarkan proporsi luas jaringan daun yang mengalami nekrosis (</w:t>
      </w:r>
      <m:oMath xmlns:mml="http://www.w3.org/1998/Math/MathML">
        <m:sSub>
          <m:e>
            <m:r>
              <m:t>A</m:t>
            </m:r>
          </m:e>
          <m:sub>
            <m:r>
              <m:rPr>
                <m:nor/>
              </m:rPr>
              <m:t>lesion</m:t>
            </m:r>
          </m:sub>
        </m:sSub>
      </m:oMath>
      <w:r>
        <w:rPr>
          <w:rFonts w:ascii="Calibri" w:hAnsi="Calibri"/>
          <w:color w:val="2D3748"/>
          <w:sz w:val="22"/>
        </w:rPr>
        <w:t>) terhadap total luas permukaan helai daun (</w:t>
      </w:r>
      <m:oMath xmlns:mml="http://www.w3.org/1998/Math/MathML">
        <m:sSub>
          <m:e>
            <m:r>
              <m:t>A</m:t>
            </m:r>
          </m:e>
          <m:sub>
            <m:r>
              <m:rPr>
                <m:nor/>
              </m:rPr>
              <m:t>leaf</m:t>
            </m:r>
          </m:sub>
        </m:sSub>
      </m:oMath>
      <w:r>
        <w:rPr>
          <w:rFonts w:ascii="Calibri" w:hAnsi="Calibri"/>
          <w:color w:val="2D3748"/>
          <w:sz w:val="22"/>
        </w:rPr>
        <w:t>):</w:t>
      </w:r>
    </w:p>
    <w:p>
      <w:pPr>
        <w:spacing w:before="120" w:after="120"/>
        <w:jc w:val="center"/>
      </w:pPr>
      <m:oMath xmlns:mml="http://www.w3.org/1998/Math/MathML">
        <m:r>
          <m:rPr>
            <m:nor/>
          </m:rPr>
          <m:t>Rasio Keparahan Spasial </m:t>
        </m:r>
        <m:r>
          <m:t>(ϕ)=</m:t>
        </m:r>
        <m:f>
          <m:fPr>
            <m:type m:val="bar"/>
          </m:fPr>
          <m:num>
            <m:sSub>
              <m:e>
                <m:r>
                  <m:t>A</m:t>
                </m:r>
              </m:e>
              <m:sub>
                <m:r>
                  <m:rPr>
                    <m:nor/>
                  </m:rPr>
                  <m:t>lesion</m:t>
                </m:r>
              </m:sub>
            </m:sSub>
          </m:num>
          <m:den>
            <m:sSub>
              <m:e>
                <m:r>
                  <m:t>A</m:t>
                </m:r>
              </m:e>
              <m:sub>
                <m:r>
                  <m:rPr>
                    <m:nor/>
                  </m:rPr>
                  <m:t>leaf</m:t>
                </m:r>
              </m:sub>
            </m:sSub>
          </m:den>
        </m:f>
        <m:r>
          <m:t>×100%=</m:t>
        </m:r>
        <m:f>
          <m:fPr>
            <m:type m:val="bar"/>
          </m:fPr>
          <m:num>
            <m:nary>
              <m:naryPr>
                <m:chr m:val="∑"/>
                <m:limLoc m:val="subSup"/>
                <m:grow m:val="1"/>
                <m:subHide m:val="off"/>
                <m:supHide m:val="on"/>
              </m:naryPr>
              <m:sub>
                <m:r>
                  <m:t>(x,y)</m:t>
                </m:r>
              </m:sub>
              <m:sup/>
              <m:e/>
            </m:nary>
            <m:sSub>
              <m:e>
                <m:r>
                  <m:t>M</m:t>
                </m:r>
              </m:e>
              <m:sub>
                <m:r>
                  <m:rPr>
                    <m:nor/>
                  </m:rPr>
                  <m:t>lesion</m:t>
                </m:r>
              </m:sub>
            </m:sSub>
            <m:r>
              <m:t>(x,y)</m:t>
            </m:r>
          </m:num>
          <m:den>
            <m:nary>
              <m:naryPr>
                <m:chr m:val="∑"/>
                <m:limLoc m:val="subSup"/>
                <m:grow m:val="1"/>
                <m:subHide m:val="off"/>
                <m:supHide m:val="on"/>
              </m:naryPr>
              <m:sub>
                <m:r>
                  <m:t>(x,y)</m:t>
                </m:r>
              </m:sub>
              <m:sup/>
              <m:e/>
            </m:nary>
            <m:sSub>
              <m:e>
                <m:r>
                  <m:t>M</m:t>
                </m:r>
              </m:e>
              <m:sub>
                <m:r>
                  <m:rPr>
                    <m:nor/>
                  </m:rPr>
                  <m:t>leaf</m:t>
                </m:r>
              </m:sub>
            </m:sSub>
            <m:r>
              <m:t>(x,y)</m:t>
            </m:r>
          </m:den>
        </m:f>
        <m:r>
          <m:t>×100%</m:t>
        </m:r>
      </m:oMath>
    </w:p>
    <w:p>
      <w:pPr>
        <w:spacing w:before="0" w:after="80" w:line="276" w:lineRule="auto"/>
      </w:pPr>
      <w:r>
        <w:rPr>
          <w:rFonts w:ascii="Calibri" w:hAnsi="Calibri"/>
          <w:color w:val="2D3748"/>
          <w:sz w:val="22"/>
        </w:rPr>
        <w:t>Dimana:</w:t>
      </w:r>
    </w:p>
    <w:p>
      <w:pPr>
        <w:pStyle w:val="ListBullet"/>
        <w:spacing w:before="0" w:after="40" w:line="276" w:lineRule="auto"/>
        <w:ind w:left="360"/>
      </w:pPr>
      <m:oMath xmlns:mml="http://www.w3.org/1998/Math/MathML">
        <m:sSub>
          <m:e>
            <m:r>
              <m:t>M</m:t>
            </m:r>
          </m:e>
          <m:sub>
            <m:r>
              <m:rPr>
                <m:nor/>
              </m:rPr>
              <m:t>leaf</m:t>
            </m:r>
          </m:sub>
        </m:sSub>
        <m:r>
          <m:t>(x,y)∈{0,1}</m:t>
        </m:r>
      </m:oMath>
      <w:r>
        <w:rPr>
          <w:rFonts w:ascii="Calibri" w:hAnsi="Calibri"/>
          <w:color w:val="2D3748"/>
          <w:sz w:val="22"/>
        </w:rPr>
        <w:t xml:space="preserve"> adalah masker biner kanopi daun hasil segmentasi ruang warna.</w:t>
      </w:r>
    </w:p>
    <w:p>
      <w:pPr>
        <w:pStyle w:val="ListBullet"/>
        <w:spacing w:before="0" w:after="40" w:line="276" w:lineRule="auto"/>
        <w:ind w:left="360"/>
      </w:pPr>
      <m:oMath xmlns:mml="http://www.w3.org/1998/Math/MathML">
        <m:sSub>
          <m:e>
            <m:r>
              <m:t>M</m:t>
            </m:r>
          </m:e>
          <m:sub>
            <m:r>
              <m:rPr>
                <m:nor/>
              </m:rPr>
              <m:t>lesion</m:t>
            </m:r>
          </m:sub>
        </m:sSub>
        <m:r>
          <m:t>(x,y)∈{0,1}</m:t>
        </m:r>
      </m:oMath>
      <w:r>
        <w:rPr>
          <w:rFonts w:ascii="Calibri" w:hAnsi="Calibri"/>
          <w:color w:val="2D3748"/>
          <w:sz w:val="22"/>
        </w:rPr>
        <w:t xml:space="preserve"> adalah masker biner area lesi nekrotik.</w:t>
      </w:r>
    </w:p>
    <w:p>
      <w:pPr>
        <w:spacing w:before="0" w:after="80" w:line="276" w:lineRule="auto"/>
      </w:pPr>
      <w:r>
        <w:rPr>
          <w:rFonts w:ascii="Calibri" w:hAnsi="Calibri"/>
          <w:color w:val="2D3748"/>
          <w:sz w:val="22"/>
        </w:rPr>
        <w:t xml:space="preserve">Berdasarkan standar FAO dan Pusat Penelitian Kelapa Sawit (PPKS), skala skor keparahan </w:t>
      </w:r>
      <m:oMath xmlns:mml="http://www.w3.org/1998/Math/MathML">
        <m:r>
          <m:t>v∈{0,1,2,3,4}</m:t>
        </m:r>
      </m:oMath>
      <w:r>
        <w:rPr>
          <w:rFonts w:ascii="Calibri" w:hAnsi="Calibri"/>
          <w:color w:val="2D3748"/>
          <w:sz w:val="22"/>
        </w:rPr>
        <w:t xml:space="preserve"> ditetapkan sebagai berikut:</w:t>
      </w:r>
    </w:p>
    <w:p>
      <w:pPr>
        <w:pStyle w:val="ListBullet"/>
        <w:spacing w:before="0" w:after="40" w:line="276" w:lineRule="auto"/>
        <w:ind w:left="360"/>
      </w:pPr>
      <w:r>
        <w:rPr>
          <w:rFonts w:ascii="Calibri" w:hAnsi="Calibri"/>
          <w:b/>
          <w:color w:val="2D3748"/>
          <w:sz w:val="22"/>
        </w:rPr>
        <w:t>Skor 0 (Sehat)</w:t>
      </w:r>
      <w:r>
        <w:rPr>
          <w:rFonts w:ascii="Calibri" w:hAnsi="Calibri"/>
          <w:color w:val="2D3748"/>
          <w:sz w:val="22"/>
        </w:rPr>
        <w:t xml:space="preserve">: </w:t>
      </w:r>
      <m:oMath xmlns:mml="http://www.w3.org/1998/Math/MathML">
        <m:r>
          <m:t>ϕ=0%</m:t>
        </m:r>
      </m:oMath>
      <w:r>
        <w:rPr>
          <w:rFonts w:ascii="Calibri" w:hAnsi="Calibri"/>
          <w:color w:val="2D3748"/>
          <w:sz w:val="22"/>
        </w:rPr>
        <w:t xml:space="preserve"> (Tidak ada lesi).</w:t>
      </w:r>
    </w:p>
    <w:p>
      <w:pPr>
        <w:pStyle w:val="ListBullet"/>
        <w:spacing w:before="0" w:after="40" w:line="276" w:lineRule="auto"/>
        <w:ind w:left="360"/>
      </w:pPr>
      <w:r>
        <w:rPr>
          <w:rFonts w:ascii="Calibri" w:hAnsi="Calibri"/>
          <w:b/>
          <w:color w:val="2D3748"/>
          <w:sz w:val="22"/>
        </w:rPr>
        <w:t>Skor 1 (Sangat Ringan)</w:t>
      </w:r>
      <w:r>
        <w:rPr>
          <w:rFonts w:ascii="Calibri" w:hAnsi="Calibri"/>
          <w:color w:val="2D3748"/>
          <w:sz w:val="22"/>
        </w:rPr>
        <w:t xml:space="preserve">: </w:t>
      </w:r>
      <m:oMath xmlns:mml="http://www.w3.org/1998/Math/MathML">
        <m:r>
          <m:t>0%&lt;ϕ≤5%</m:t>
        </m:r>
      </m:oMath>
      <w:r>
        <w:rPr>
          <w:rFonts w:ascii="Calibri" w:hAnsi="Calibri"/>
          <w:color w:val="2D3748"/>
          <w:sz w:val="22"/>
        </w:rPr>
        <w:t xml:space="preserve"> (Bercak jarum melingkar kecil).</w:t>
      </w:r>
    </w:p>
    <w:p>
      <w:pPr>
        <w:pStyle w:val="ListBullet"/>
        <w:spacing w:before="0" w:after="40" w:line="276" w:lineRule="auto"/>
        <w:ind w:left="360"/>
      </w:pPr>
      <w:r>
        <w:rPr>
          <w:rFonts w:ascii="Calibri" w:hAnsi="Calibri"/>
          <w:b/>
          <w:color w:val="2D3748"/>
          <w:sz w:val="22"/>
        </w:rPr>
        <w:t>Skor 2 (Ringan/Sedang)</w:t>
      </w:r>
      <w:r>
        <w:rPr>
          <w:rFonts w:ascii="Calibri" w:hAnsi="Calibri"/>
          <w:color w:val="2D3748"/>
          <w:sz w:val="22"/>
        </w:rPr>
        <w:t xml:space="preserve">: </w:t>
      </w:r>
      <m:oMath xmlns:mml="http://www.w3.org/1998/Math/MathML">
        <m:r>
          <m:t>5%&lt;ϕ≤20%</m:t>
        </m:r>
      </m:oMath>
      <w:r>
        <w:rPr>
          <w:rFonts w:ascii="Calibri" w:hAnsi="Calibri"/>
          <w:color w:val="2D3748"/>
          <w:sz w:val="22"/>
        </w:rPr>
        <w:t xml:space="preserve"> (Bercak mulai bergabung dan halo kuning meluas).</w:t>
      </w:r>
    </w:p>
    <w:p>
      <w:pPr>
        <w:pStyle w:val="ListBullet"/>
        <w:spacing w:before="0" w:after="40" w:line="276" w:lineRule="auto"/>
        <w:ind w:left="360"/>
      </w:pPr>
      <w:r>
        <w:rPr>
          <w:rFonts w:ascii="Calibri" w:hAnsi="Calibri"/>
          <w:b/>
          <w:color w:val="2D3748"/>
          <w:sz w:val="22"/>
        </w:rPr>
        <w:t>Skor 3 (Berat)</w:t>
      </w:r>
      <w:r>
        <w:rPr>
          <w:rFonts w:ascii="Calibri" w:hAnsi="Calibri"/>
          <w:color w:val="2D3748"/>
          <w:sz w:val="22"/>
        </w:rPr>
        <w:t xml:space="preserve">: </w:t>
      </w:r>
      <m:oMath xmlns:mml="http://www.w3.org/1998/Math/MathML">
        <m:r>
          <m:t>20%&lt;ϕ≤50%</m:t>
        </m:r>
      </m:oMath>
      <w:r>
        <w:rPr>
          <w:rFonts w:ascii="Calibri" w:hAnsi="Calibri"/>
          <w:color w:val="2D3748"/>
          <w:sz w:val="22"/>
        </w:rPr>
        <w:t xml:space="preserve"> (Hawar nekrotik meluas, pelepah mulai melengkung).</w:t>
      </w:r>
    </w:p>
    <w:p>
      <w:pPr>
        <w:pStyle w:val="ListBullet"/>
        <w:spacing w:before="0" w:after="40" w:line="276" w:lineRule="auto"/>
        <w:ind w:left="360"/>
      </w:pPr>
      <w:r>
        <w:rPr>
          <w:rFonts w:ascii="Calibri" w:hAnsi="Calibri"/>
          <w:b/>
          <w:color w:val="2D3748"/>
          <w:sz w:val="22"/>
        </w:rPr>
        <w:t>Skor 4 (Sangat Berat / Kritis)</w:t>
      </w:r>
      <w:r>
        <w:rPr>
          <w:rFonts w:ascii="Calibri" w:hAnsi="Calibri"/>
          <w:color w:val="2D3748"/>
          <w:sz w:val="22"/>
        </w:rPr>
        <w:t xml:space="preserve">: </w:t>
      </w:r>
      <m:oMath xmlns:mml="http://www.w3.org/1998/Math/MathML">
        <m:r>
          <m:t>ϕ&gt;50%</m:t>
        </m:r>
      </m:oMath>
      <w:r>
        <w:rPr>
          <w:rFonts w:ascii="Calibri" w:hAnsi="Calibri"/>
          <w:color w:val="2D3748"/>
          <w:sz w:val="22"/>
        </w:rPr>
        <w:t xml:space="preserve"> (Daun mongering total / mati).</w:t>
      </w:r>
    </w:p>
    <w:p>
      <w:pPr>
        <w:spacing w:before="0" w:after="80" w:line="276" w:lineRule="auto"/>
      </w:pPr>
      <w:r>
        <w:rPr>
          <w:rFonts w:ascii="Calibri" w:hAnsi="Calibri"/>
          <w:color w:val="2D3748"/>
          <w:sz w:val="22"/>
        </w:rPr>
        <w:t xml:space="preserve">Untuk evaluasi satu petak pembibitan yang memuat </w:t>
      </w:r>
      <m:oMath xmlns:mml="http://www.w3.org/1998/Math/MathML">
        <m:r>
          <m:t>N</m:t>
        </m:r>
      </m:oMath>
      <w:r>
        <w:rPr>
          <w:rFonts w:ascii="Calibri" w:hAnsi="Calibri"/>
          <w:color w:val="2D3748"/>
          <w:sz w:val="22"/>
        </w:rPr>
        <w:t xml:space="preserve"> bibit kelapa sawit, </w:t>
      </w:r>
      <w:r>
        <w:rPr>
          <w:rFonts w:ascii="Calibri" w:hAnsi="Calibri"/>
          <w:b/>
          <w:color w:val="2D3748"/>
          <w:sz w:val="22"/>
        </w:rPr>
        <w:t>Disease Severity Index (DSI)</w:t>
      </w:r>
      <w:r>
        <w:rPr>
          <w:rFonts w:ascii="Calibri" w:hAnsi="Calibri"/>
          <w:color w:val="2D3748"/>
          <w:sz w:val="22"/>
        </w:rPr>
        <w:t xml:space="preserve"> dirumuskan sebagai:</w:t>
      </w:r>
    </w:p>
    <w:p>
      <w:pPr>
        <w:spacing w:before="120" w:after="120"/>
        <w:jc w:val="center"/>
      </w:pPr>
      <m:oMath xmlns:mml="http://www.w3.org/1998/Math/MathML">
        <m:r>
          <m:rPr>
            <m:nor/>
          </m:rPr>
          <m:t>DSI</m:t>
        </m:r>
        <m:r>
          <m:t>=</m:t>
        </m:r>
        <m:f>
          <m:fPr>
            <m:type m:val="bar"/>
          </m:fPr>
          <m:num>
            <m:nary>
              <m:naryPr>
                <m:chr m:val="∑"/>
                <m:limLoc m:val="subSup"/>
                <m:grow m:val="1"/>
                <m:subHide m:val="off"/>
                <m:supHide m:val="off"/>
              </m:naryPr>
              <m:sub>
                <m:r>
                  <m:t>v=0</m:t>
                </m:r>
              </m:sub>
              <m:sup>
                <m:r>
                  <m:t>4</m:t>
                </m:r>
              </m:sup>
              <m:e/>
            </m:nary>
            <m:r>
              <m:t>(</m:t>
            </m:r>
            <m:sSub>
              <m:e>
                <m:r>
                  <m:t>n</m:t>
                </m:r>
              </m:e>
              <m:sub>
                <m:r>
                  <m:t>v</m:t>
                </m:r>
              </m:sub>
            </m:sSub>
            <m:r>
              <m:t>×v)</m:t>
            </m:r>
          </m:num>
          <m:den>
            <m:r>
              <m:t>N×</m:t>
            </m:r>
            <m:sSub>
              <m:e>
                <m:r>
                  <m:t>V</m:t>
                </m:r>
              </m:e>
              <m:sub>
                <m:r>
                  <m:t>max</m:t>
                </m:r>
              </m:sub>
            </m:sSub>
          </m:den>
        </m:f>
        <m:r>
          <m:t>×100%</m:t>
        </m:r>
      </m:oMath>
    </w:p>
    <w:p>
      <w:pPr>
        <w:spacing w:before="0" w:after="80" w:line="276" w:lineRule="auto"/>
      </w:pPr>
      <w:r>
        <w:rPr>
          <w:rFonts w:ascii="Calibri" w:hAnsi="Calibri"/>
          <w:color w:val="2D3748"/>
          <w:sz w:val="22"/>
        </w:rPr>
        <w:t xml:space="preserve">Dimana </w:t>
      </w:r>
      <m:oMath xmlns:mml="http://www.w3.org/1998/Math/MathML">
        <m:sSub>
          <m:e>
            <m:r>
              <m:t>n</m:t>
            </m:r>
          </m:e>
          <m:sub>
            <m:r>
              <m:t>v</m:t>
            </m:r>
          </m:sub>
        </m:sSub>
      </m:oMath>
      <w:r>
        <w:rPr>
          <w:rFonts w:ascii="Calibri" w:hAnsi="Calibri"/>
          <w:color w:val="2D3748"/>
          <w:sz w:val="22"/>
        </w:rPr>
        <w:t xml:space="preserve"> adalah jumlah bibit pada kategori skor </w:t>
      </w:r>
      <m:oMath xmlns:mml="http://www.w3.org/1998/Math/MathML">
        <m:r>
          <m:t>v</m:t>
        </m:r>
      </m:oMath>
      <w:r>
        <w:rPr>
          <w:rFonts w:ascii="Calibri" w:hAnsi="Calibri"/>
          <w:color w:val="2D3748"/>
          <w:sz w:val="22"/>
        </w:rPr>
        <w:t xml:space="preserve">, dan </w:t>
      </w:r>
      <m:oMath xmlns:mml="http://www.w3.org/1998/Math/MathML">
        <m:sSub>
          <m:e>
            <m:r>
              <m:t>V</m:t>
            </m:r>
          </m:e>
          <m:sub>
            <m:r>
              <m:t>max</m:t>
            </m:r>
          </m:sub>
        </m:sSub>
        <m:r>
          <m:t>=4</m:t>
        </m:r>
      </m:oMath>
      <w:r>
        <w:rPr>
          <w:rFonts w:ascii="Calibri" w:hAnsi="Calibri"/>
          <w:color w:val="2D3748"/>
          <w:sz w:val="22"/>
        </w:rPr>
        <w:t xml:space="preserve"> adalah skala skor maksimum.</w:t>
      </w:r>
    </w:p>
    <w:p>
      <w:pPr>
        <w:keepNext/>
        <w:spacing w:before="200" w:after="40"/>
      </w:pPr>
      <w:r>
        <w:rPr>
          <w:rFonts w:ascii="Calibri" w:hAnsi="Calibri"/>
          <w:b/>
          <w:color w:val="2D3748"/>
          <w:sz w:val="24"/>
        </w:rPr>
        <w:t>2.2 Pohon Keputusan Agronomi (Agronomic Decision Engine)</w:t>
      </w:r>
    </w:p>
    <w:p>
      <w:pPr>
        <w:spacing w:before="0" w:after="80" w:line="276" w:lineRule="auto"/>
      </w:pPr>
      <w:r>
        <w:rPr>
          <w:rFonts w:ascii="Calibri" w:hAnsi="Calibri"/>
          <w:color w:val="2D3748"/>
          <w:sz w:val="22"/>
        </w:rPr>
        <w:t>Sistem visi komputer tidak boleh berhenti pada prediksi probabilitas semata; nilai diagnostik tersebut harus dikonversi menjadi tindakan proteksi tanaman:</w:t>
      </w:r>
    </w:p>
    <w:p>
      <w:pPr>
        <w:spacing w:before="120" w:after="120"/>
        <w:jc w:val="center"/>
      </w:pPr>
      <m:oMath xmlns:mml="http://www.w3.org/1998/Math/MathML">
        <m:r>
          <m:rPr>
            <m:nor/>
          </m:rPr>
          <m:t>Aksi</m:t>
        </m:r>
        <m:r>
          <m:t>(</m:t>
        </m:r>
        <m:r>
          <m:rPr>
            <m:nor/>
          </m:rPr>
          <m:t>Patogen</m:t>
        </m:r>
        <m:r>
          <m:t>,ϕ)=</m:t>
        </m:r>
        <m:r>
          <m:t>{</m:t>
        </m:r>
        <m:m>
          <m:mPr>
            <m:baseJc m:val="center"/>
            <m:plcHide m:val="on"/>
            <m:mcs>
              <m:mc>
                <m:mcPr>
                  <m:count m:val="2"/>
                  <m:mcJc m:val="center"/>
                </m:mcPr>
              </m:mc>
            </m:mcs>
          </m:mPr>
          <m:mr>
            <m:e>
              <m:r>
                <m:rPr>
                  <m:nor/>
                </m:rPr>
                <m:t>Monitoring Rutin Tiap 7 Hari</m:t>
              </m:r>
              <m:r>
                <m:t>,</m:t>
              </m:r>
            </m:e>
            <m:e>
              <m:r>
                <m:rPr>
                  <m:nor/>
                </m:rPr>
                <m:t>jika </m:t>
              </m:r>
              <m:r>
                <m:t>ϕ=0%</m:t>
              </m:r>
            </m:e>
          </m:mr>
          <m:mr>
            <m:e>
              <m:r>
                <m:rPr>
                  <m:nor/>
                </m:rPr>
                <m:t>Sanitasi Manual + Karantina Petak</m:t>
              </m:r>
              <m:r>
                <m:t>,</m:t>
              </m:r>
            </m:e>
            <m:e>
              <m:r>
                <m:rPr>
                  <m:nor/>
                </m:rPr>
                <m:t>jika Patogen</m:t>
              </m:r>
              <m:r>
                <m:t>=</m:t>
              </m:r>
              <m:r>
                <m:rPr>
                  <m:nor/>
                </m:rPr>
                <m:t>"Curvularia"</m:t>
              </m:r>
              <m:r>
                <m:t>∧ϕ≤5%</m:t>
              </m:r>
            </m:e>
          </m:mr>
          <m:mr>
            <m:e>
              <m:r>
                <m:rPr>
                  <m:nor/>
                </m:rPr>
                <m:t>Fungisida Mankozeb 80WP (2.0 g/L air)</m:t>
              </m:r>
              <m:r>
                <m:t>,</m:t>
              </m:r>
            </m:e>
            <m:e>
              <m:r>
                <m:rPr>
                  <m:nor/>
                </m:rPr>
                <m:t>jika Patogen</m:t>
              </m:r>
              <m:r>
                <m:t>=</m:t>
              </m:r>
              <m:r>
                <m:rPr>
                  <m:nor/>
                </m:rPr>
                <m:t>"Curvularia"</m:t>
              </m:r>
              <m:r>
                <m:t>∧5%&lt;ϕ≤20%</m:t>
              </m:r>
            </m:e>
          </m:mr>
          <m:mr>
            <m:e>
              <m:r>
                <m:rPr>
                  <m:nor/>
                </m:rPr>
                <m:t>Fungisida Sistemik Difenokonazol 250EC (1.0 ml/L)</m:t>
              </m:r>
              <m:r>
                <m:t>,</m:t>
              </m:r>
            </m:e>
            <m:e>
              <m:r>
                <m:rPr>
                  <m:nor/>
                </m:rPr>
                <m:t>jika Patogen</m:t>
              </m:r>
              <m:r>
                <m:t>=</m:t>
              </m:r>
              <m:r>
                <m:rPr>
                  <m:nor/>
                </m:rPr>
                <m:t>"Pestalotiopsis"</m:t>
              </m:r>
              <m:r>
                <m:t>∧5%&lt;ϕ≤20%</m:t>
              </m:r>
            </m:e>
          </m:mr>
          <m:mr>
            <m:e>
              <m:r>
                <m:rPr>
                  <m:nor/>
                </m:rPr>
                <m:t>Eradikasi Tanaman + Disinfeksi Media Tanah</m:t>
              </m:r>
              <m:r>
                <m:t>,</m:t>
              </m:r>
            </m:e>
            <m:e>
              <m:r>
                <m:rPr>
                  <m:nor/>
                </m:rPr>
                <m:t>jika </m:t>
              </m:r>
              <m:r>
                <m:t>ϕ&gt;20%</m:t>
              </m:r>
            </m:e>
          </m:mr>
        </m:m>
      </m:oMath>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447778"/>
            <wp:docPr id="2" name="Picture 2"/>
            <wp:cNvGraphicFramePr>
              <a:graphicFrameLocks noChangeAspect="1"/>
            </wp:cNvGraphicFramePr>
            <a:graphic>
              <a:graphicData uri="http://schemas.openxmlformats.org/drawingml/2006/picture">
                <pic:pic>
                  <pic:nvPicPr>
                    <pic:cNvPr id="0" name="sistem_deteksi_penyakit_daun_kelapa_sawit_real_time.png"/>
                    <pic:cNvPicPr/>
                  </pic:nvPicPr>
                  <pic:blipFill>
                    <a:blip r:embed="rId10"/>
                    <a:stretch>
                      <a:fillRect/>
                    </a:stretch>
                  </pic:blipFill>
                  <pic:spPr>
                    <a:xfrm>
                      <a:off x="0" y="0"/>
                      <a:ext cx="5303520" cy="2447778"/>
                    </a:xfrm>
                    <a:prstGeom prst="rect"/>
                  </pic:spPr>
                </pic:pic>
              </a:graphicData>
            </a:graphic>
          </wp:inline>
        </w:drawing>
      </w:r>
    </w:p>
    <w:p>
      <w:pPr>
        <w:spacing w:after="160"/>
        <w:jc w:val="center"/>
      </w:pPr>
      <w:r>
        <w:rPr>
          <w:rFonts w:ascii="Calibri" w:hAnsi="Calibri"/>
          <w:i/>
          <w:color w:val="718096"/>
          <w:sz w:val="18"/>
        </w:rPr>
        <w:t>Gambar: Sistem Deteksi Penyakit Daun Kelapa Sawit Real-Time</w:t>
      </w:r>
    </w:p>
    <w:p>
      <w:pPr>
        <w:spacing w:before="0" w:after="80" w:line="276" w:lineRule="auto"/>
      </w:pPr>
      <w:r>
        <w:rPr>
          <w:rFonts w:ascii="Calibri" w:hAnsi="Calibri"/>
          <w:color w:val="2D3748"/>
          <w:sz w:val="22"/>
        </w:rPr>
        <w:t>Diagram di atas mengilustrasikan: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Akuisisi Citra Lapangan</w:t>
      </w:r>
      <w:r>
        <w:rPr>
          <w:rFonts w:ascii="Calibri" w:hAnsi="Calibri"/>
          <w:color w:val="2D3748"/>
          <w:sz w:val="22"/>
        </w:rPr>
        <w:t>: Fokus pada helai daun dengan latar terkontrol atau di alam bebas.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Deep Learning Inference</w:t>
      </w:r>
      <w:r>
        <w:rPr>
          <w:rFonts w:ascii="Calibri" w:hAnsi="Calibri"/>
          <w:color w:val="2D3748"/>
          <w:sz w:val="22"/>
        </w:rPr>
        <w:t>: Identifikasi patogen jamur penyebab lesi.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Severity Scoring</w:t>
      </w:r>
      <w:r>
        <w:rPr>
          <w:rFonts w:ascii="Calibri" w:hAnsi="Calibri"/>
          <w:color w:val="2D3748"/>
          <w:sz w:val="22"/>
        </w:rPr>
        <w:t>: Menghitung persentase piksel jaringan rusak terhadap luas kanopi.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Agronomic Dispatch</w:t>
      </w:r>
      <w:r>
        <w:rPr>
          <w:rFonts w:ascii="Calibri" w:hAnsi="Calibri"/>
          <w:color w:val="2D3748"/>
          <w:sz w:val="22"/>
        </w:rPr>
        <w:t>: Rekomendasi tindakan intervensi kimiawi dan isolasi budidaya.</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kelas diagnostik patologi daun kelapa sawit yang mengintegrasikan segmentasi biner, estimasi keparahan, dan pohon keputusan agronomi: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torch</w:t>
              <w:br/>
              <w:t>import torch.nn as nn</w:t>
              <w:br/>
              <w:t>from typing import Dict, Tuple, Any</w:t>
              <w:br/>
              <w:br/>
              <w:t>class PalmLeafPathologyAnalyzer:</w:t>
              <w:br/>
              <w:t xml:space="preserve">    '''</w:t>
              <w:br/>
              <w:t xml:space="preserve">    Mesin Analisis Patologi Daun Sawit: Segmentasi, Scoring Keparahan, dan Rekomendasi.</w:t>
              <w:br/>
              <w:t xml:space="preserve">    '''</w:t>
              <w:br/>
              <w:t xml:space="preserve">    def __init__(self, classifier_model: nn.Module, class_names: list):</w:t>
              <w:br/>
              <w:t xml:space="preserve">        self.model = classifier_model</w:t>
              <w:br/>
              <w:t xml:space="preserve">        self.model.eval()</w:t>
              <w:br/>
              <w:t xml:space="preserve">        self.class_names = class_names</w:t>
              <w:br/>
              <w:t xml:space="preserve">        </w:t>
              <w:br/>
              <w:t xml:space="preserve">    def segment_leaf_and_lesions(self, bgr_img: np.ndarray) -&gt; Tuple[np.ndarray, np.ndarray, float]:</w:t>
              <w:br/>
              <w:t xml:space="preserve">        '''</w:t>
              <w:br/>
              <w:t xml:space="preserve">        Menghasilkan masker biner daun dan lesi menggunakan ruang warna HSV.</w:t>
              <w:br/>
              <w:t xml:space="preserve">        '''</w:t>
              <w:br/>
              <w:t xml:space="preserve">        hsv = cv2.cvtColor(bgr_img, cv2.COLOR_BGR2HSV)</w:t>
              <w:br/>
              <w:t xml:space="preserve">        </w:t>
              <w:br/>
              <w:t xml:space="preserve">        # Masker Daun Hijau (Rentang HSV Hijau Tropis)</w:t>
              <w:br/>
              <w:t xml:space="preserve">        lower_green = np.array([25, 40, 40])</w:t>
              <w:br/>
              <w:t xml:space="preserve">        upper_green = np.array([85, 255, 255])</w:t>
              <w:br/>
              <w:t xml:space="preserve">        leaf_mask = cv2.inRange(hsv, lower_green, upper_green)</w:t>
              <w:br/>
              <w:t xml:space="preserve">        </w:t>
              <w:br/>
              <w:t xml:space="preserve">        # Masker Lesi Nekrotik (Cokelat Tua / Oranye Kering)</w:t>
              <w:br/>
              <w:t xml:space="preserve">        lower_lesion = np.array([5, 50, 20])</w:t>
              <w:br/>
              <w:t xml:space="preserve">        upper_lesion = np.array([22, 255, 200])</w:t>
              <w:br/>
              <w:t xml:space="preserve">        lesion_mask = cv2.inRange(hsv, lower_lesion, upper_lesion)</w:t>
              <w:br/>
              <w:t xml:space="preserve">        </w:t>
              <w:br/>
              <w:t xml:space="preserve">        # Lesi hanya dihitung jika berada di dalam atau di batas kanopi daun</w:t>
              <w:br/>
              <w:t xml:space="preserve">        kernel = cv2.getStructuringElement(cv2.MORPH_ELLIPSE, (5, 5))</w:t>
              <w:br/>
              <w:t xml:space="preserve">        leaf_dilated = cv2.dilate(leaf_mask, kernel, iterations=2)</w:t>
              <w:br/>
              <w:t xml:space="preserve">        valid_lesion = cv2.bitwise_and(lesion_mask, leaf_dilated)</w:t>
              <w:br/>
              <w:t xml:space="preserve">        </w:t>
              <w:br/>
              <w:t xml:space="preserve">        leaf_pixels = np.count_nonzero(leaf_mask) + np.count_nonzero(valid_lesion)</w:t>
              <w:br/>
              <w:t xml:space="preserve">        lesion_pixels = np.count_nonzero(valid_lesion)</w:t>
              <w:br/>
              <w:t xml:space="preserve">        </w:t>
              <w:br/>
              <w:t xml:space="preserve">        severity_ratio = (lesion_pixels / leaf_pixels * 100.0) if leaf_pixels &gt; 0 else 0.0</w:t>
              <w:br/>
              <w:t xml:space="preserve">        return leaf_mask, valid_lesion, severity_ratio</w:t>
              <w:br/>
              <w:br/>
              <w:t xml:space="preserve">    def evaluate_diagnosis(self, bgr_img: np.ndarray) -&gt; Dict[str, Any]:</w:t>
              <w:br/>
              <w:t xml:space="preserve">        # 1. Analisis Spasial</w:t>
              <w:br/>
              <w:t xml:space="preserve">        leaf_mask, lesion_mask, severity = self.segment_leaf_and_lesions(bgr_img)</w:t>
              <w:br/>
              <w:t xml:space="preserve">        </w:t>
              <w:br/>
              <w:t xml:space="preserve">        # 2. Inferensi Deep Learning</w:t>
              <w:br/>
              <w:t xml:space="preserve">        resized = cv2.resize(bgr_img, (64, 64))</w:t>
              <w:br/>
              <w:t xml:space="preserve">        rgb = cv2.cvtColor(resized, cv2.COLOR_BGR2RGB)</w:t>
              <w:br/>
              <w:t xml:space="preserve">        tensor = torch.from_numpy(rgb).permute(2, 0, 1).unsqueeze(0).float() / 255.0</w:t>
              <w:br/>
              <w:t xml:space="preserve">        </w:t>
              <w:br/>
              <w:t xml:space="preserve">        with torch.no_grad():</w:t>
              <w:br/>
              <w:t xml:space="preserve">            logits = self.model(tensor)</w:t>
              <w:br/>
              <w:t xml:space="preserve">            probs = torch.softmax(logits, dim=1)[0]</w:t>
              <w:br/>
              <w:t xml:space="preserve">            top_idx = probs.argmax().item()</w:t>
              <w:br/>
              <w:t xml:space="preserve">            pathogen = self.class_names[top_idx]</w:t>
              <w:br/>
              <w:t xml:space="preserve">            confidence = probs[top_idx].item()</w:t>
              <w:br/>
              <w:t xml:space="preserve">            </w:t>
              <w:br/>
              <w:t xml:space="preserve">        # 3. Skoring Keparahan (0 - 4)</w:t>
              <w:br/>
              <w:t xml:space="preserve">        if severity == 0.0:</w:t>
              <w:br/>
              <w:t xml:space="preserve">            scale_score = 0</w:t>
              <w:br/>
              <w:t xml:space="preserve">            severity_label = "Sehat (Healthy)"</w:t>
              <w:br/>
              <w:t xml:space="preserve">        elif severity &lt;= 5.0:</w:t>
              <w:br/>
              <w:t xml:space="preserve">            scale_score = 1</w:t>
              <w:br/>
              <w:t xml:space="preserve">            severity_label = "Sangat Ringan (Very Light)"</w:t>
              <w:br/>
              <w:t xml:space="preserve">        elif severity &lt;= 20.0:</w:t>
              <w:br/>
              <w:t xml:space="preserve">            scale_score = 2</w:t>
              <w:br/>
              <w:t xml:space="preserve">            severity_label = "Sedang (Moderate)"</w:t>
              <w:br/>
              <w:t xml:space="preserve">        elif severity &lt;= 50.0:</w:t>
              <w:br/>
              <w:t xml:space="preserve">            scale_score = 3</w:t>
              <w:br/>
              <w:t xml:space="preserve">            severity_label = "Berat (Severe)"</w:t>
              <w:br/>
              <w:t xml:space="preserve">        else:</w:t>
              <w:br/>
              <w:t xml:space="preserve">            scale_score = 4</w:t>
              <w:br/>
              <w:t xml:space="preserve">            severity_label = "Kritis / Mati (Critical)"</w:t>
              <w:br/>
              <w:t xml:space="preserve">            </w:t>
              <w:br/>
              <w:t xml:space="preserve">        # 4. Mesin Rekomendasi Agronomi</w:t>
              <w:br/>
              <w:t xml:space="preserve">        if scale_score == 0:</w:t>
              <w:br/>
              <w:t xml:space="preserve">            recom = "Kondisi bibit prima. Lanjutkan jadwal pemupukan NPK dan penyiraman standar."</w:t>
              <w:br/>
              <w:t xml:space="preserve">        elif scale_score == 1:</w:t>
              <w:br/>
              <w:t xml:space="preserve">            recom = "Potong ujung pelepah terinfeksi dengan gunting steril. Isolasi polybag sejauh 2 meter."</w:t>
              <w:br/>
              <w:t xml:space="preserve">        elif scale_score == 2:</w:t>
              <w:br/>
              <w:t xml:space="preserve">            if "Curvularia" in pathogen:</w:t>
              <w:br/>
              <w:t xml:space="preserve">                recom = "Semprot fungisida protektif Mankozeb 80WP (2.0 g/L air) setiap 5 hari sekali."</w:t>
              <w:br/>
              <w:t xml:space="preserve">            else:</w:t>
              <w:br/>
              <w:t xml:space="preserve">                recom = "Aplikasi fungisida sistemik Difenokonazol 250EC (1.0 ml/L air) pada seluruh tajuk."</w:t>
              <w:br/>
              <w:t xml:space="preserve">        elif scale_score &gt;= 3:</w:t>
              <w:br/>
              <w:t xml:space="preserve">            recom = "Eradikasi tanaman terinfeksi dan bakar sisa pelepah di luar pembibitan. Disinfeksi tanah."</w:t>
              <w:br/>
              <w:t xml:space="preserve">            </w:t>
              <w:br/>
              <w:t xml:space="preserve">        return {</w:t>
              <w:br/>
              <w:t xml:space="preserve">            'pathogen': pathogen,</w:t>
              <w:br/>
              <w:t xml:space="preserve">            'confidence': confidence,</w:t>
              <w:br/>
              <w:t xml:space="preserve">            'severity_ratio': severity,</w:t>
              <w:br/>
              <w:t xml:space="preserve">            'scale_score': scale_score,</w:t>
              <w:br/>
              <w:t xml:space="preserve">            'severity_label': severity_label,</w:t>
              <w:br/>
              <w:t xml:space="preserve">            'recommendation': recom</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Implementasi Sistem Mobile Mandor di Pembibitan Kelapa Sawit PT Sawit Nusantara</w:t>
      </w:r>
    </w:p>
    <w:p>
      <w:pPr>
        <w:spacing w:before="0" w:after="80" w:line="276" w:lineRule="auto"/>
      </w:pPr>
      <w:r>
        <w:rPr>
          <w:rFonts w:ascii="Calibri" w:hAnsi="Calibri"/>
          <w:color w:val="2D3748"/>
          <w:sz w:val="22"/>
        </w:rPr>
        <w:t>Di perkebunan kelapa sawit seluas 15.000 hektar di Riau, pembibitan utama (</w:t>
      </w:r>
      <w:r>
        <w:rPr>
          <w:rFonts w:ascii="Calibri" w:hAnsi="Calibri"/>
          <w:i/>
          <w:color w:val="2D3748"/>
          <w:sz w:val="22"/>
        </w:rPr>
        <w:t>main nursery</w:t>
      </w:r>
      <w:r>
        <w:rPr>
          <w:rFonts w:ascii="Calibri" w:hAnsi="Calibri"/>
          <w:color w:val="2D3748"/>
          <w:sz w:val="22"/>
        </w:rPr>
        <w:t xml:space="preserve">) menampung lebih dari </w:t>
      </w:r>
      <w:r>
        <w:rPr>
          <w:rFonts w:ascii="Calibri" w:hAnsi="Calibri"/>
          <w:b/>
          <w:color w:val="2D3748"/>
          <w:sz w:val="22"/>
        </w:rPr>
        <w:t>120.000 bibit kelapa sawit</w:t>
      </w:r>
      <w:r>
        <w:rPr>
          <w:rFonts w:ascii="Calibri" w:hAnsi="Calibri"/>
          <w:color w:val="2D3748"/>
          <w:sz w:val="22"/>
        </w:rPr>
        <w:t xml:space="preserve"> umur 6 hingga 10 bulan. Pada musim peralihan basah-kering (</w:t>
      </w:r>
      <w:r>
        <w:rPr>
          <w:rFonts w:ascii="Calibri" w:hAnsi="Calibri"/>
          <w:i/>
          <w:color w:val="2D3748"/>
          <w:sz w:val="22"/>
        </w:rPr>
        <w:t>monsoon transition</w:t>
      </w:r>
      <w:r>
        <w:rPr>
          <w:rFonts w:ascii="Calibri" w:hAnsi="Calibri"/>
          <w:color w:val="2D3748"/>
          <w:sz w:val="22"/>
        </w:rPr>
        <w:t xml:space="preserve">), kelembaban udara yang mencapai </w:t>
      </w:r>
      <m:oMath xmlns:mml="http://www.w3.org/1998/Math/MathML">
        <m:r>
          <m:t>95%</m:t>
        </m:r>
      </m:oMath>
      <w:r>
        <w:rPr>
          <w:rFonts w:ascii="Calibri" w:hAnsi="Calibri"/>
          <w:color w:val="2D3748"/>
          <w:sz w:val="22"/>
        </w:rPr>
        <w:t xml:space="preserve"> memicu ledakan infeksi spora jamur </w:t>
      </w:r>
      <w:r>
        <w:rPr>
          <w:rFonts w:ascii="Calibri" w:hAnsi="Calibri"/>
          <w:i/>
          <w:color w:val="2D3748"/>
          <w:sz w:val="22"/>
        </w:rPr>
        <w:t>Curvularia maculans</w:t>
      </w:r>
      <w:r>
        <w:rPr>
          <w:rFonts w:ascii="Calibri" w:hAnsi="Calibri"/>
          <w:color w:val="2D3748"/>
          <w:sz w:val="22"/>
        </w:rPr>
        <w:t>.</w:t>
      </w:r>
    </w:p>
    <w:p>
      <w:pPr>
        <w:spacing w:before="0" w:after="80" w:line="276" w:lineRule="auto"/>
      </w:pPr>
      <w:r>
        <w:rPr>
          <w:rFonts w:ascii="Calibri" w:hAnsi="Calibri"/>
          <w:b/>
          <w:color w:val="2D3748"/>
          <w:sz w:val="22"/>
        </w:rPr>
        <w:t>Kondisi Sebelum Penerapan AI</w:t>
      </w:r>
      <w:r>
        <w:rPr>
          <w:rFonts w:ascii="Calibri" w:hAnsi="Calibri"/>
          <w:color w:val="2D3748"/>
          <w:sz w:val="22"/>
        </w:rPr>
        <w:t>:</w:t>
      </w:r>
    </w:p>
    <w:p>
      <w:pPr>
        <w:pStyle w:val="ListBullet"/>
        <w:spacing w:before="0" w:after="40" w:line="276" w:lineRule="auto"/>
        <w:ind w:left="360"/>
      </w:pPr>
      <w:r>
        <w:rPr>
          <w:rFonts w:ascii="Calibri" w:hAnsi="Calibri"/>
          <w:color w:val="2D3748"/>
          <w:sz w:val="22"/>
        </w:rPr>
        <w:t>Petugas sensus membutuhkan waktu 10 hari untuk memeriksa seluruh blok pembibitan secara visual manual.</w:t>
      </w:r>
    </w:p>
    <w:p>
      <w:pPr>
        <w:pStyle w:val="ListBullet"/>
        <w:spacing w:before="0" w:after="40" w:line="276" w:lineRule="auto"/>
        <w:ind w:left="360"/>
      </w:pPr>
      <w:r>
        <w:rPr>
          <w:rFonts w:ascii="Calibri" w:hAnsi="Calibri"/>
          <w:color w:val="2D3748"/>
          <w:sz w:val="22"/>
        </w:rPr>
        <w:t>Ketidakkonsistenan diagnosis: mandor kerap menyemprotkan insektisida kimia untuk penyakit yang sebenarnya disebabkan oleh jamur patogen, membuang biaya pestisida puluhan juta rupiah dan meracuni musuh alami.</w:t>
      </w:r>
    </w:p>
    <w:p>
      <w:pPr>
        <w:spacing w:before="0" w:after="80" w:line="276" w:lineRule="auto"/>
      </w:pPr>
      <w:r>
        <w:rPr>
          <w:rFonts w:ascii="Calibri" w:hAnsi="Calibri"/>
          <w:b/>
          <w:color w:val="2D3748"/>
          <w:sz w:val="22"/>
        </w:rPr>
        <w:t>Hasil Penerapan Sistem Mobile AI</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Aplikasi disematkan pada ponsel pintar Android mandor kebun, beroperasi secara mandiri tanpa sinyal internet menggunakan model yang dikonversi ke format </w:t>
      </w:r>
      <w:r>
        <w:rPr>
          <w:rFonts w:ascii="Calibri" w:hAnsi="Calibri"/>
          <w:i/>
          <w:color w:val="2D3748"/>
          <w:sz w:val="22"/>
        </w:rPr>
        <w:t>ONNX Runtime Mobile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Mandor cukup mengarahkan kamera ke daun yang bergejala; dalam </w:t>
      </w:r>
      <w:r>
        <w:rPr>
          <w:rFonts w:ascii="Calibri" w:hAnsi="Calibri"/>
          <w:b/>
          <w:color w:val="2D3748"/>
          <w:sz w:val="22"/>
        </w:rPr>
        <w:t>$45\text{ milidetik}$</w:t>
      </w:r>
      <w:r>
        <w:rPr>
          <w:rFonts w:ascii="Calibri" w:hAnsi="Calibri"/>
          <w:color w:val="2D3748"/>
          <w:sz w:val="22"/>
        </w:rPr>
        <w:t>, sistem menampilkan nama patogen, persentase luas lesi, dan takaran pencampuran fungisida yang tepat.</w:t>
      </w:r>
    </w:p>
    <w:p>
      <w:pPr>
        <w:pStyle w:val="ListBullet"/>
        <w:spacing w:before="0" w:after="40" w:line="276" w:lineRule="auto"/>
        <w:ind w:left="360"/>
      </w:pPr>
      <w:r>
        <w:rPr>
          <w:rFonts w:ascii="Calibri" w:hAnsi="Calibri"/>
          <w:color w:val="2D3748"/>
          <w:sz w:val="22"/>
        </w:rPr>
        <w:t xml:space="preserve">Waktu identifikasi terpangkas dari </w:t>
      </w:r>
      <w:r>
        <w:rPr>
          <w:rFonts w:ascii="Calibri" w:hAnsi="Calibri"/>
          <w:b/>
          <w:color w:val="2D3748"/>
          <w:sz w:val="22"/>
        </w:rPr>
        <w:t>10 hari menjadi hanya 1 hari</w:t>
      </w:r>
      <w:r>
        <w:rPr>
          <w:rFonts w:ascii="Calibri" w:hAnsi="Calibri"/>
          <w:color w:val="2D3748"/>
          <w:sz w:val="22"/>
        </w:rPr>
        <w:t xml:space="preserve">, menurunkan tingkat kematian bibit dari </w:t>
      </w:r>
      <m:oMath xmlns:mml="http://www.w3.org/1998/Math/MathML">
        <m:r>
          <m:t>8.2%</m:t>
        </m:r>
      </m:oMath>
      <w:r>
        <w:rPr>
          <w:rFonts w:ascii="Calibri" w:hAnsi="Calibri"/>
          <w:color w:val="2D3748"/>
          <w:sz w:val="22"/>
        </w:rPr>
        <w:t xml:space="preserve"> menjadi </w:t>
      </w:r>
      <w:r>
        <w:rPr>
          <w:rFonts w:ascii="Calibri" w:hAnsi="Calibri"/>
          <w:b/>
          <w:color w:val="2D3748"/>
          <w:sz w:val="22"/>
        </w:rPr>
        <w:t>$1.1\%$</w:t>
      </w:r>
      <w:r>
        <w:rPr>
          <w:rFonts w:ascii="Calibri" w:hAnsi="Calibri"/>
          <w:color w:val="2D3748"/>
          <w:sz w:val="22"/>
        </w:rPr>
        <w:t>, menyelamatkan potensi aset tanaman senilai miliaran rupiah.</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 xml:space="preserve">Profil komputasional alur analisis patologi lengkap pada satu citra </w:t>
      </w:r>
      <m:oMath xmlns:mml="http://www.w3.org/1998/Math/MathML">
        <m:r>
          <m:t>640×480</m:t>
        </m:r>
      </m:oMath>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Tahap Pemrosesan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Operasi Inti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Waktu Eksekusi CPU (ms)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Efisiensi Alokasi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Konversi Ruang Warna (BGR ke HSV)</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trigonometri &amp; perbandingan kanal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~1.8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Ringan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Segmentasi Ambang Ganda (`cv2.inRange`)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Operasi bitwise logika array</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~1.2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Ringan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Pembersihan Morfologi (`cv2.morphologyEx`)</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Dilasi dan erosi elemen elips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~2.4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Ringan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Inferensi Model CNN (MobileNetV3 FP16)</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Konvolusi 2D dan GAP</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~18.5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Beban Utama</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Pohon Keputusan &amp; Evaluasi Logika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Kondisional percabangan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~0.02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Negligible</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Total Waktu Pemrosesan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Pipeline End-to-End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~23.9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Dapat Berjalan &gt; 40 FPS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Interferensi Pantulan Sinar Matahari (*Specular Glare*)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Daun hijau sehat terdeteksi sebagai lesi kekuningan (</w:t>
            </w:r>
            <w:r>
              <w:rPr>
                <w:rFonts w:ascii="Calibri" w:hAnsi="Calibri"/>
                <w:i/>
                <w:color w:val="2D3748"/>
                <w:sz w:val="19"/>
              </w:rPr>
              <w:t>False Positive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Pantulan langsung terik matahari tropis pada kutikula lilin daun membuat nilai saturasi mendekati 0 dan intensitas putih.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Tambahkan ambang batas saturasi minimum (</w:t>
            </w:r>
            <m:oMath xmlns:mml="http://www.w3.org/1998/Math/MathML">
              <m:r>
                <m:t>S&gt;50</m:t>
              </m:r>
            </m:oMath>
            <w:r>
              <w:rPr>
                <w:rFonts w:ascii="Calibri" w:hAnsi="Calibri"/>
                <w:color w:val="2D3748"/>
                <w:sz w:val="19"/>
              </w:rPr>
              <w:t>) pada masker daun dan anjurkan pemotretan dari sudut ternaungi (</w:t>
            </w:r>
            <w:r>
              <w:rPr>
                <w:rFonts w:ascii="Calibri" w:hAnsi="Calibri"/>
                <w:i/>
                <w:color w:val="2D3748"/>
                <w:sz w:val="19"/>
              </w:rPr>
              <w:t>diffused light</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Bercak Embun dan Butiran Tanah</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Kotoran tanah akibat percikan air hujan teridentifikasi sebagai bercak jamur nekrotik.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Pola warna bintik cokelat tanah memiliki rentang spektral mirip lesi </w:t>
            </w:r>
            <w:r>
              <w:rPr>
                <w:rFonts w:ascii="Calibri" w:hAnsi="Calibri"/>
                <w:i/>
                <w:color w:val="2D3748"/>
                <w:sz w:val="19"/>
              </w:rPr>
              <w:t>Curvularia</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Latih model klasifikasi multi-kelas dengan menyertakan kelas negatif spesifik: </w:t>
            </w:r>
            <w:r>
              <w:rPr>
                <w:rFonts w:ascii="Consolas" w:hAnsi="Consolas"/>
                <w:color w:val="9C1A1A"/>
                <w:sz w:val="19"/>
              </w:rPr>
              <w:t>Tanah/Debu</w:t>
            </w:r>
            <w:r>
              <w:rPr>
                <w:rFonts w:ascii="Calibri" w:hAnsi="Calibri"/>
                <w:color w:val="2D3748"/>
                <w:sz w:val="19"/>
              </w:rPr>
              <w:t xml:space="preserve"> dan </w:t>
            </w:r>
            <w:r>
              <w:rPr>
                <w:rFonts w:ascii="Consolas" w:hAnsi="Consolas"/>
                <w:color w:val="9C1A1A"/>
                <w:sz w:val="19"/>
              </w:rPr>
              <w:t>Embun Air</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Gejala Mirip Defisiensi Hara Kalium (K)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Daun dengan defisiensi hara K salah didiagnosis sebagai serangan patogen jamur.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Defisiensi hara K juga memunculkan bintik oranye tembus pandang (</w:t>
            </w:r>
            <w:r>
              <w:rPr>
                <w:rFonts w:ascii="Calibri" w:hAnsi="Calibri"/>
                <w:i/>
                <w:color w:val="2D3748"/>
                <w:sz w:val="19"/>
              </w:rPr>
              <w:t>orange spotting</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Evaluasi pola sebaran spasial: lesi jamur memiliki halo kuning sirkular dengan titik tengah nekrotik hitam gelap, sedangkan defisiensi K menyebar merata tanpa batas nekrosis tajam.</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Disease Severity Index (DSI)</w:t>
      </w:r>
      <w:r>
        <w:rPr>
          <w:rFonts w:ascii="Calibri" w:hAnsi="Calibri"/>
          <w:color w:val="2D3748"/>
          <w:sz w:val="22"/>
        </w:rPr>
        <w:t>: Dari sensus 200 bibit kelapa sawit pada petak pembibitan Blok C, diperoleh data keparahan sebagai berikut:</w:t>
      </w:r>
    </w:p>
    <w:p>
      <w:pPr>
        <w:pStyle w:val="ListBullet"/>
        <w:spacing w:before="0" w:after="40" w:line="276" w:lineRule="auto"/>
        <w:ind w:left="720"/>
      </w:pPr>
      <w:r>
        <w:rPr>
          <w:rFonts w:ascii="Calibri" w:hAnsi="Calibri"/>
          <w:color w:val="2D3748"/>
          <w:sz w:val="22"/>
        </w:rPr>
        <w:t>Skor 0 (Sehat): 120 bibit</w:t>
      </w:r>
    </w:p>
    <w:p>
      <w:pPr>
        <w:pStyle w:val="ListBullet"/>
        <w:spacing w:before="0" w:after="40" w:line="276" w:lineRule="auto"/>
        <w:ind w:left="720"/>
      </w:pPr>
      <w:r>
        <w:rPr>
          <w:rFonts w:ascii="Calibri" w:hAnsi="Calibri"/>
          <w:color w:val="2D3748"/>
          <w:sz w:val="22"/>
        </w:rPr>
        <w:t>Skor 1 (Sangat Ringan): 40 bibit</w:t>
      </w:r>
    </w:p>
    <w:p>
      <w:pPr>
        <w:pStyle w:val="ListBullet"/>
        <w:spacing w:before="0" w:after="40" w:line="276" w:lineRule="auto"/>
        <w:ind w:left="720"/>
      </w:pPr>
      <w:r>
        <w:rPr>
          <w:rFonts w:ascii="Calibri" w:hAnsi="Calibri"/>
          <w:color w:val="2D3748"/>
          <w:sz w:val="22"/>
        </w:rPr>
        <w:t>Skor 2 (Sedang): 25 bibit</w:t>
      </w:r>
    </w:p>
    <w:p>
      <w:pPr>
        <w:pStyle w:val="ListBullet"/>
        <w:spacing w:before="0" w:after="40" w:line="276" w:lineRule="auto"/>
        <w:ind w:left="720"/>
      </w:pPr>
      <w:r>
        <w:rPr>
          <w:rFonts w:ascii="Calibri" w:hAnsi="Calibri"/>
          <w:color w:val="2D3748"/>
          <w:sz w:val="22"/>
        </w:rPr>
        <w:t>Skor 3 (Berat): 10 bibit</w:t>
      </w:r>
    </w:p>
    <w:p>
      <w:pPr>
        <w:pStyle w:val="ListBullet"/>
        <w:spacing w:before="0" w:after="40" w:line="276" w:lineRule="auto"/>
        <w:ind w:left="720"/>
      </w:pPr>
      <w:r>
        <w:rPr>
          <w:rFonts w:ascii="Calibri" w:hAnsi="Calibri"/>
          <w:color w:val="2D3748"/>
          <w:sz w:val="22"/>
        </w:rPr>
        <w:t>Skor 4 (Kritis): 5 bibit</w:t>
      </w:r>
    </w:p>
    <w:p>
      <w:pPr>
        <w:spacing w:before="0" w:after="80" w:line="276" w:lineRule="auto"/>
      </w:pPr>
      <w:r>
        <w:rPr>
          <w:rFonts w:ascii="Calibri" w:hAnsi="Calibri"/>
          <w:color w:val="2D3748"/>
          <w:sz w:val="22"/>
        </w:rPr>
        <w:t>Hitung nilai Disease Severity Index (DSI) petak tersebut dan tentukan status kesehatannya.</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m:oMath xmlns:mml="http://www.w3.org/1998/Math/MathML">
        <m:r>
          <m:t>∑(</m:t>
        </m:r>
        <m:sSub>
          <m:e>
            <m:r>
              <m:t>n</m:t>
            </m:r>
          </m:e>
          <m:sub>
            <m:r>
              <m:t>v</m:t>
            </m:r>
          </m:sub>
        </m:sSub>
        <m:r>
          <m:t>×v)=(120×0)+(40×1)+(25×2)+(10×3)+(5×4)</m:t>
        </m:r>
      </m:oMath>
    </w:p>
    <w:p>
      <w:pPr>
        <w:pStyle w:val="ListBullet"/>
        <w:spacing w:before="0" w:after="40" w:line="276" w:lineRule="auto"/>
        <w:ind w:left="1080"/>
      </w:pPr>
      <m:oMath xmlns:mml="http://www.w3.org/1998/Math/MathML">
        <m:r>
          <m:t>∑(</m:t>
        </m:r>
        <m:sSub>
          <m:e>
            <m:r>
              <m:t>n</m:t>
            </m:r>
          </m:e>
          <m:sub>
            <m:r>
              <m:t>v</m:t>
            </m:r>
          </m:sub>
        </m:sSub>
        <m:r>
          <m:t>×v)=0+40+50+30+20=140</m:t>
        </m:r>
      </m:oMath>
    </w:p>
    <w:p>
      <w:pPr>
        <w:pStyle w:val="ListBullet"/>
        <w:spacing w:before="0" w:after="40" w:line="276" w:lineRule="auto"/>
        <w:ind w:left="1080"/>
      </w:pPr>
      <w:r>
        <w:rPr>
          <w:rFonts w:ascii="Calibri" w:hAnsi="Calibri"/>
          <w:color w:val="2D3748"/>
          <w:sz w:val="22"/>
        </w:rPr>
        <w:t xml:space="preserve">Total sampel </w:t>
      </w:r>
      <m:oMath xmlns:mml="http://www.w3.org/1998/Math/MathML">
        <m:r>
          <m:t>N=200</m:t>
        </m:r>
      </m:oMath>
      <w:r>
        <w:rPr>
          <w:rFonts w:ascii="Calibri" w:hAnsi="Calibri"/>
          <w:color w:val="2D3748"/>
          <w:sz w:val="22"/>
        </w:rPr>
        <w:t xml:space="preserve">, skor maksimal </w:t>
      </w:r>
      <m:oMath xmlns:mml="http://www.w3.org/1998/Math/MathML">
        <m:sSub>
          <m:e>
            <m:r>
              <m:t>V</m:t>
            </m:r>
          </m:e>
          <m:sub>
            <m:r>
              <m:t>max</m:t>
            </m:r>
          </m:sub>
        </m:sSub>
        <m:r>
          <m:t>=4</m:t>
        </m:r>
      </m:oMath>
      <w:r>
        <w:rPr>
          <w:rFonts w:ascii="Calibri" w:hAnsi="Calibri"/>
          <w:color w:val="2D3748"/>
          <w:sz w:val="22"/>
        </w:rPr>
        <w:t>.</w:t>
      </w:r>
    </w:p>
    <w:p>
      <w:pPr>
        <w:pStyle w:val="ListBullet"/>
        <w:spacing w:before="0" w:after="40" w:line="276" w:lineRule="auto"/>
        <w:ind w:left="1080"/>
      </w:pPr>
      <m:oMath xmlns:mml="http://www.w3.org/1998/Math/MathML">
        <m:r>
          <m:rPr>
            <m:nor/>
          </m:rPr>
          <m:t>DSI</m:t>
        </m:r>
        <m:r>
          <m:t>=</m:t>
        </m:r>
        <m:f>
          <m:fPr>
            <m:type m:val="bar"/>
          </m:fPr>
          <m:num>
            <m:r>
              <m:t>140</m:t>
            </m:r>
          </m:num>
          <m:den>
            <m:r>
              <m:t>200×4</m:t>
            </m:r>
          </m:den>
        </m:f>
        <m:r>
          <m:t>×100%=</m:t>
        </m:r>
        <m:f>
          <m:fPr>
            <m:type m:val="bar"/>
          </m:fPr>
          <m:num>
            <m:r>
              <m:t>140</m:t>
            </m:r>
          </m:num>
          <m:den>
            <m:r>
              <m:t>800</m:t>
            </m:r>
          </m:den>
        </m:f>
        <m:r>
          <m:t>×100%=</m:t>
        </m:r>
        <m:r>
          <m:rPr>
            <m:sty m:val="b"/>
          </m:rPr>
          <m:t>17.5%</m:t>
        </m:r>
      </m:oMath>
    </w:p>
    <w:p>
      <w:pPr>
        <w:pStyle w:val="ListBullet"/>
        <w:spacing w:before="0" w:after="40" w:line="276" w:lineRule="auto"/>
        <w:ind w:left="1080"/>
      </w:pPr>
      <w:r>
        <w:rPr>
          <w:rFonts w:ascii="Calibri" w:hAnsi="Calibri"/>
          <w:b/>
          <w:color w:val="2D3748"/>
          <w:sz w:val="22"/>
        </w:rPr>
        <w:t>Kesimpulan Agronomi</w:t>
      </w:r>
      <w:r>
        <w:rPr>
          <w:rFonts w:ascii="Calibri" w:hAnsi="Calibri"/>
          <w:color w:val="2D3748"/>
          <w:sz w:val="22"/>
        </w:rPr>
        <w:t xml:space="preserve">: Tingkat serangan tergolong </w:t>
      </w:r>
      <w:r>
        <w:rPr>
          <w:rFonts w:ascii="Calibri" w:hAnsi="Calibri"/>
          <w:b/>
          <w:color w:val="2D3748"/>
          <w:sz w:val="22"/>
        </w:rPr>
        <w:t>Sedang (Moderate)</w:t>
      </w:r>
      <w:r>
        <w:rPr>
          <w:rFonts w:ascii="Calibri" w:hAnsi="Calibri"/>
          <w:color w:val="2D3748"/>
          <w:sz w:val="22"/>
        </w:rPr>
        <w:t>. Diperlukan aplikasi fungisida protektif serentak untuk mencegah penularan ke bibit sehat.</w:t>
      </w:r>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w:t>
      </w:r>
      <w:r>
        <w:rPr>
          <w:rFonts w:ascii="Calibri" w:hAnsi="Calibri"/>
          <w:color w:val="2D3748"/>
          <w:sz w:val="22"/>
        </w:rPr>
        <w:t>: Mengapa segmentasi ruang warna HSV jauh lebih tangguh menghadapi perubahan intensitas bayangan awan dibandingkan segmentasi pada ruang warna RGB konvensional?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Rancang modul Python yang mengekstraksi metrik bentuk geometris (</w:t>
      </w:r>
      <w:r>
        <w:rPr>
          <w:rFonts w:ascii="Calibri" w:hAnsi="Calibri"/>
          <w:i/>
          <w:color w:val="2D3748"/>
          <w:sz w:val="22"/>
        </w:rPr>
        <w:t>circularity, eccentricity, aspect ratio</w:t>
      </w:r>
      <w:r>
        <w:rPr>
          <w:rFonts w:ascii="Calibri" w:hAnsi="Calibri"/>
          <w:color w:val="2D3748"/>
          <w:sz w:val="22"/>
        </w:rPr>
        <w:t xml:space="preserve">) dari kontur lesi bercak daun untuk membedakan lesi sirkular </w:t>
      </w:r>
      <w:r>
        <w:rPr>
          <w:rFonts w:ascii="Calibri" w:hAnsi="Calibri"/>
          <w:i/>
          <w:color w:val="2D3748"/>
          <w:sz w:val="22"/>
        </w:rPr>
        <w:t>Curvularia</w:t>
      </w:r>
      <w:r>
        <w:rPr>
          <w:rFonts w:ascii="Calibri" w:hAnsi="Calibri"/>
          <w:color w:val="2D3748"/>
          <w:sz w:val="22"/>
        </w:rPr>
        <w:t xml:space="preserve"> dari lesi memanjang elipsoid </w:t>
      </w:r>
      <w:r>
        <w:rPr>
          <w:rFonts w:ascii="Calibri" w:hAnsi="Calibri"/>
          <w:i/>
          <w:color w:val="2D3748"/>
          <w:sz w:val="22"/>
        </w:rPr>
        <w:t>Pestalotiopsis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13.4.2: Monitoring Berbasis CCTV</w:t>
      </w:r>
    </w:p>
    <w:p>
      <w:pPr>
        <w:spacing w:before="0" w:after="80" w:line="276" w:lineRule="auto"/>
      </w:pPr>
      <w:r>
        <w:rPr>
          <w:rFonts w:ascii="Calibri" w:hAnsi="Calibri"/>
          <w:color w:val="2D3748"/>
          <w:sz w:val="22"/>
        </w:rPr>
        <w:t>Kita telah sukses menyelesaikan studi kasus pertama: deteksi kesehatan biologis tanaman secara langsung di lapangan menggunakan model portabel. Pada studi kasus kedua dan terakhir dari buku ini, kita akan melangkah ke dimensi infrastruktur makro perkebunan: pengawasan keamanan dan logistik skala kawasan.</w:t>
      </w:r>
    </w:p>
    <w:p>
      <w:pPr>
        <w:spacing w:before="0" w:after="80" w:line="276" w:lineRule="auto"/>
      </w:pPr>
      <w:r>
        <w:rPr>
          <w:rFonts w:ascii="Calibri" w:hAnsi="Calibri"/>
          <w:color w:val="2D3748"/>
          <w:sz w:val="22"/>
        </w:rPr>
        <w:t xml:space="preserve">Pada </w:t>
      </w:r>
      <w:r>
        <w:rPr>
          <w:rFonts w:ascii="Calibri" w:hAnsi="Calibri"/>
          <w:b/>
          <w:color w:val="2D3748"/>
          <w:sz w:val="22"/>
        </w:rPr>
        <w:t>AI Modul 13.4.2: Monitoring Berbasis CCTV</w:t>
      </w:r>
      <w:r>
        <w:rPr>
          <w:rFonts w:ascii="Calibri" w:hAnsi="Calibri"/>
          <w:color w:val="2D3748"/>
          <w:sz w:val="22"/>
        </w:rPr>
        <w:t>, kita akan membangun sistem pengawasan cerdas terpusat: integrasi aliran multi-kamera RTSP, algoritma deteksi intrusi perimeter (</w:t>
      </w:r>
      <w:r>
        <w:rPr>
          <w:rFonts w:ascii="Calibri" w:hAnsi="Calibri"/>
          <w:i/>
          <w:color w:val="2D3748"/>
          <w:sz w:val="22"/>
        </w:rPr>
        <w:t>Polygon ROI Intrusion</w:t>
      </w:r>
      <w:r>
        <w:rPr>
          <w:rFonts w:ascii="Calibri" w:hAnsi="Calibri"/>
          <w:color w:val="2D3748"/>
          <w:sz w:val="22"/>
        </w:rPr>
        <w:t>), kepatuhan alat pelindung diri (APD K3), serta sistem notifikasi peringatan instan ke ruang kendali pabrik.</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Turner, P. D. (1981). </w:t>
      </w:r>
      <w:r>
        <w:rPr>
          <w:rFonts w:ascii="Calibri" w:hAnsi="Calibri"/>
          <w:i/>
          <w:color w:val="2D3748"/>
          <w:sz w:val="22"/>
        </w:rPr>
        <w:t>Oil Palm Diseases and Disorders</w:t>
      </w:r>
      <w:r>
        <w:rPr>
          <w:rFonts w:ascii="Calibri" w:hAnsi="Calibri"/>
          <w:color w:val="2D3748"/>
          <w:sz w:val="22"/>
        </w:rPr>
        <w:t>. Oxford University Press.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Cooke, B. M., Jones, D. G., &amp; Kaye, B. (2006). </w:t>
      </w:r>
      <w:r>
        <w:rPr>
          <w:rFonts w:ascii="Calibri" w:hAnsi="Calibri"/>
          <w:i/>
          <w:color w:val="2D3748"/>
          <w:sz w:val="22"/>
        </w:rPr>
        <w:t>The Epidemiology of Plant Diseases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Mohanty, S. P., Hughes, D. P., &amp; Salathé, M. (2016). </w:t>
      </w:r>
      <w:r>
        <w:rPr>
          <w:rFonts w:ascii="Calibri" w:hAnsi="Calibri"/>
          <w:i/>
          <w:color w:val="2D3748"/>
          <w:sz w:val="22"/>
        </w:rPr>
        <w:t>Using deep learning for image-based plant disease detection</w:t>
      </w:r>
      <w:r>
        <w:rPr>
          <w:rFonts w:ascii="Calibri" w:hAnsi="Calibri"/>
          <w:color w:val="2D3748"/>
          <w:sz w:val="22"/>
        </w:rPr>
        <w:t>. Frontiers in Plant Science, 7, 1419.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Barbedo, J. G. A. (2019). </w:t>
      </w:r>
      <w:r>
        <w:rPr>
          <w:rFonts w:ascii="Calibri" w:hAnsi="Calibri"/>
          <w:i/>
          <w:color w:val="2D3748"/>
          <w:sz w:val="22"/>
        </w:rPr>
        <w:t>Plant disease identification from individual lesions and spots using deep learning</w:t>
      </w:r>
      <w:r>
        <w:rPr>
          <w:rFonts w:ascii="Calibri" w:hAnsi="Calibri"/>
          <w:color w:val="2D3748"/>
          <w:sz w:val="22"/>
        </w:rPr>
        <w:t>. Biosystems Engineering, 180, 96-107.</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Susanto, A., Prasetyo, A. E., &amp; Wening, S. (2018). </w:t>
      </w:r>
      <w:r>
        <w:rPr>
          <w:rFonts w:ascii="Calibri" w:hAnsi="Calibri"/>
          <w:i/>
          <w:color w:val="2D3748"/>
          <w:sz w:val="22"/>
        </w:rPr>
        <w:t>Hama dan Penyakit Kelapa Sawit: Identifikasi dan Pengendalian Ramah Lingkungan</w:t>
      </w:r>
      <w:r>
        <w:rPr>
          <w:rFonts w:ascii="Calibri" w:hAnsi="Calibri"/>
          <w:color w:val="2D3748"/>
          <w:sz w:val="22"/>
        </w:rPr>
        <w:t>. Pusat Penelitian Kelapa Sawit (PPKS).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