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5.6 - Proses Training Model dalam Machine Learning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Program Studi Sarjana Sains Data / Kecerdasan Buatan / Teknik Pertanian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Fakultas Teknologi Pertanian, Institut Pertanian STIPER Yogyakarta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 Sesi 3 SKS (150 Menit)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Alokasi Waktu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 Pembelajaran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Target Capaian Mahasiswa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00:00 - 00:20</w:t>
            </w:r>
            <w:r>
              <w:rPr>
                <w:rFonts w:ascii="Calibri" w:hAnsi="Calibri"/>
                <w:color w:val="2D3748"/>
                <w:sz w:val="19"/>
              </w:rPr>
              <w:t xml:space="preserve"> (20 Menit)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Pendahuluan &amp; Apersepsi Konseptual</w:t>
            </w:r>
            <w:r>
              <w:rPr>
                <w:rFonts w:ascii="Calibri" w:hAnsi="Calibri"/>
                <w:color w:val="2D3748"/>
                <w:sz w:val="19"/>
              </w:rPr>
              <w:t xml:space="preserve">: Analogi "menuruni lembah berkabut tebal menggunakan ketinggian tanah". Pengenalan konsep optimasi parameter </w:t>
            </w:r>
            <m:oMath xmlns:mml="http://www.w3.org/1998/Math/MathML">
              <m:r>
                <m:rPr>
                  <m:sty m:val="bi"/>
                </m:rPr>
                <m:t>θ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kelas interaktif, Analogi fisik topografi, Slide presentasi.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Mengarahkan mahasiswa melihat pelatihan model sebagai pencarian dasar lembah fungsi biaya secara bertahap.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perbedaan konseptual antara fungsi kerugian (</w:t>
            </w:r>
            <m:oMath xmlns:mml="http://www.w3.org/1998/Math/MathML">
              <m:r>
                <m:t>ℒ</m:t>
              </m:r>
            </m:oMath>
            <w:r>
              <w:rPr>
                <w:rFonts w:ascii="Calibri" w:hAnsi="Calibri"/>
                <w:color w:val="2D3748"/>
                <w:sz w:val="19"/>
              </w:rPr>
              <w:t>) dan fungsi biaya agregat (</w:t>
            </w:r>
            <m:oMath xmlns:mml="http://www.w3.org/1998/Math/MathML">
              <m:r>
                <m:t>J(</m:t>
              </m:r>
              <m:r>
                <m:rPr>
                  <m:sty m:val="bi"/>
                </m:rPr>
                <m:t>θ</m:t>
              </m:r>
              <m:r>
                <m:t>)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00:20 - 01:00</w:t>
            </w:r>
            <w:r>
              <w:rPr>
                <w:rFonts w:ascii="Calibri" w:hAnsi="Calibri"/>
                <w:color w:val="2D3748"/>
                <w:sz w:val="19"/>
              </w:rPr>
              <w:t xml:space="preserve"> (40 Menit)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Eksplorasi Teori &amp; Penurunan Matematis</w:t>
            </w:r>
            <w:r>
              <w:rPr>
                <w:rFonts w:ascii="Calibri" w:hAnsi="Calibri"/>
                <w:color w:val="2D3748"/>
                <w:sz w:val="19"/>
              </w:rPr>
              <w:t xml:space="preserve">: Penurunan vektor gradien </w:t>
            </w:r>
            <m:oMath xmlns:mml="http://www.w3.org/1998/Math/MathML">
              <m:r>
                <m:t>∇J(</m:t>
              </m:r>
              <m:r>
                <m:rPr>
                  <m:sty m:val="bi"/>
                </m:rPr>
                <m:t>θ</m:t>
              </m:r>
              <m:r>
                <m:t>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untuk MSE, perbandingan BGD vs SGD vs MBGD, peran learning rate </w:t>
            </w:r>
            <m:oMath xmlns:mml="http://www.w3.org/1998/Math/MathML">
              <m:r>
                <m:t>η</m:t>
              </m:r>
            </m:oMath>
            <w:r>
              <w:rPr>
                <w:rFonts w:ascii="Calibri" w:hAnsi="Calibri"/>
                <w:color w:val="2D3748"/>
                <w:sz w:val="19"/>
              </w:rPr>
              <w:t>, dan lanskap kontur eliptik.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Kuliah mimbar, Penurunan kalkulus vektor di papan tulis, Analisis diagram kontur.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Membimbing penurunan turunan parsial </w:t>
            </w:r>
            <m:oMath xmlns:mml="http://www.w3.org/1998/Math/MathML">
              <m:f>
                <m:fPr>
                  <m:type m:val="bar"/>
                </m:fPr>
                <m:num>
                  <m:r>
                    <m:t>∂J</m:t>
                  </m:r>
                </m:num>
                <m:den>
                  <m:r>
                    <m:t>∂</m:t>
                  </m:r>
                  <m:r>
                    <m:rPr>
                      <m:sty m:val="bi"/>
                    </m:rPr>
                    <m:t>θ</m:t>
                  </m:r>
                </m:den>
              </m:f>
            </m:oMath>
            <w:r>
              <w:rPr>
                <w:rFonts w:ascii="Calibri" w:hAnsi="Calibri"/>
                <w:color w:val="2D3748"/>
                <w:sz w:val="19"/>
              </w:rPr>
              <w:t xml:space="preserve"> dan pembuktian matematis batas stabilitas </w:t>
            </w:r>
            <m:oMath xmlns:mml="http://www.w3.org/1998/Math/MathML">
              <m:r>
                <m:t>η&lt;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Menguasai prinsip komputasi penurunan gradien serta syarat kestabilan konvergensi numerik.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01:00 - 02:00</w:t>
            </w:r>
            <w:r>
              <w:rPr>
                <w:rFonts w:ascii="Calibri" w:hAnsi="Calibri"/>
                <w:color w:val="2D3748"/>
                <w:sz w:val="19"/>
              </w:rPr>
              <w:t xml:space="preserve"> (60 Menit)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Terbimbing di Laboratorium Komputer</w:t>
            </w:r>
            <w:r>
              <w:rPr>
                <w:rFonts w:ascii="Calibri" w:hAnsi="Calibri"/>
                <w:color w:val="2D3748"/>
                <w:sz w:val="19"/>
              </w:rPr>
              <w:t>: Implementasi algoritma BGD, SGD, dan MBGD dari dasar (</w:t>
            </w:r>
            <w:r>
              <w:rPr>
                <w:rFonts w:ascii="Calibri" w:hAnsi="Calibri"/>
                <w:i/>
                <w:color w:val="2D3748"/>
                <w:sz w:val="19"/>
              </w:rPr>
              <w:t>from scratch</w:t>
            </w:r>
            <w:r>
              <w:rPr>
                <w:rFonts w:ascii="Calibri" w:hAnsi="Calibri"/>
                <w:color w:val="2D3748"/>
                <w:sz w:val="19"/>
              </w:rPr>
              <w:t xml:space="preserve">), visualisasi trajektori loss, dan penyetelan </w:t>
            </w:r>
            <w:r>
              <w:rPr>
                <w:rFonts w:ascii="Consolas" w:hAnsi="Consolas"/>
                <w:color w:val="9C1A1A"/>
                <w:sz w:val="19"/>
              </w:rPr>
              <w:t>SGDRegressor</w:t>
            </w:r>
            <w:r>
              <w:rPr>
                <w:rFonts w:ascii="Calibri" w:hAnsi="Calibri"/>
                <w:color w:val="2D3748"/>
                <w:sz w:val="19"/>
              </w:rPr>
              <w:t xml:space="preserve"> dengan </w:t>
            </w:r>
            <w:r>
              <w:rPr>
                <w:rFonts w:ascii="Calibri" w:hAnsi="Calibri"/>
                <w:i/>
                <w:color w:val="2D3748"/>
                <w:sz w:val="19"/>
              </w:rPr>
              <w:t>early stopping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Live coding terbimbing di JupyterLab, Penyelidikan galat numerik (</w:t>
            </w:r>
            <w:r>
              <w:rPr>
                <w:rFonts w:ascii="Calibri" w:hAnsi="Calibri"/>
                <w:i/>
                <w:color w:val="2D3748"/>
                <w:sz w:val="19"/>
              </w:rPr>
              <w:t>overflow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saat menguji data tanpa standarisasi agar mereka melihat langsung bahaya ledakan gradien.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terampil menulis kode optimasi numerik dan membaca kurva konvergensi fungsi biaya.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02:00 - 02:30</w:t>
            </w:r>
            <w:r>
              <w:rPr>
                <w:rFonts w:ascii="Calibri" w:hAnsi="Calibri"/>
                <w:color w:val="2D3748"/>
                <w:sz w:val="19"/>
              </w:rPr>
              <w:t xml:space="preserve"> (30 Menit)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Diskusi Analitis HOTS &amp; Evaluasi OBE</w:t>
            </w:r>
            <w:r>
              <w:rPr>
                <w:rFonts w:ascii="Calibri" w:hAnsi="Calibri"/>
                <w:color w:val="2D3748"/>
                <w:sz w:val="19"/>
              </w:rPr>
              <w:t xml:space="preserve">: Pembahasan mendalam kondisi batas konvergensi, fenomena </w:t>
            </w:r>
            <w:r>
              <w:rPr>
                <w:rFonts w:ascii="Calibri" w:hAnsi="Calibri"/>
                <w:i/>
                <w:color w:val="2D3748"/>
                <w:sz w:val="19"/>
              </w:rPr>
              <w:t>gradient explosion</w:t>
            </w:r>
            <w:r>
              <w:rPr>
                <w:rFonts w:ascii="Calibri" w:hAnsi="Calibri"/>
                <w:color w:val="2D3748"/>
                <w:sz w:val="19"/>
              </w:rPr>
              <w:t xml:space="preserve">, dan arsitektur </w:t>
            </w:r>
            <w:r>
              <w:rPr>
                <w:rFonts w:ascii="Calibri" w:hAnsi="Calibri"/>
                <w:i/>
                <w:color w:val="2D3748"/>
                <w:sz w:val="19"/>
              </w:rPr>
              <w:t>streaming</w:t>
            </w:r>
            <w:r>
              <w:rPr>
                <w:rFonts w:ascii="Calibri" w:hAnsi="Calibri"/>
                <w:color w:val="2D3748"/>
                <w:sz w:val="19"/>
              </w:rPr>
              <w:t xml:space="preserve"> IoT perkebunan (Soal 8.1 - 8.3).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kelompok, Presentasi komparasi teknis, Umpan balik formatif instruktur.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Menilai kemampuan sintesis mahasiswa dalam memilih optimizer yang tepat untuk batasan memori dan kecepatan </w:t>
            </w:r>
            <w:r>
              <w:rPr>
                <w:rFonts w:ascii="Calibri" w:hAnsi="Calibri"/>
                <w:i/>
                <w:color w:val="2D3748"/>
                <w:sz w:val="19"/>
              </w:rPr>
              <w:t>edge computing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merancang sistem pelatihan model adaptif untuk data berskala besar di lingkungan produksi pertanian.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Identifikasi Miskonsepsi Umum Mahasiswa &amp; Strategi Intervensi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"Nilai learning rate ($\eta$) yang semakin besar akan selalu mempercepat waktu pelatihan model."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 xml:space="preserve">: Jika nilai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melampaui batas kurvatur fungsi biaya (</w:t>
      </w:r>
      <m:oMath xmlns:mml="http://www.w3.org/1998/Math/MathML">
        <m:r>
          <m:t>η&gt;2/</m:t>
        </m:r>
        <m:sSub>
          <m:e>
            <m:r>
              <m:t>λ</m:t>
            </m:r>
          </m:e>
          <m:sub>
            <m:r>
              <m:t>max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), algoritma </w:t>
      </w:r>
      <w:r>
        <w:rPr>
          <w:rFonts w:ascii="Calibri" w:hAnsi="Calibri"/>
          <w:i/>
          <w:color w:val="2D3748"/>
          <w:sz w:val="22"/>
        </w:rPr>
        <w:t>Gradient Descent</w:t>
      </w:r>
      <w:r>
        <w:rPr>
          <w:rFonts w:ascii="Calibri" w:hAnsi="Calibri"/>
          <w:color w:val="2D3748"/>
          <w:sz w:val="22"/>
        </w:rPr>
        <w:t xml:space="preserve"> akan melompati lembah minimum dan berosilasi secara divergen (</w:t>
      </w:r>
      <w:r>
        <w:rPr>
          <w:rFonts w:ascii="Calibri" w:hAnsi="Calibri"/>
          <w:i/>
          <w:color w:val="2D3748"/>
          <w:sz w:val="22"/>
        </w:rPr>
        <w:t>overshooting</w:t>
      </w:r>
      <w:r>
        <w:rPr>
          <w:rFonts w:ascii="Calibri" w:hAnsi="Calibri"/>
          <w:color w:val="2D3748"/>
          <w:sz w:val="22"/>
        </w:rPr>
        <w:t>), menyebabkan nilai fungsi biaya meledak ke angka tak hingga (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 xml:space="preserve">: Mintalah mahasiswa mengeksekusi Cell #4 pada notebook dengan </w:t>
      </w:r>
      <m:oMath xmlns:mml="http://www.w3.org/1998/Math/MathML">
        <m:r>
          <m:t>η=0.95</m:t>
        </m:r>
      </m:oMath>
      <w:r>
        <w:rPr>
          <w:rFonts w:ascii="Calibri" w:hAnsi="Calibri"/>
          <w:color w:val="2D3748"/>
          <w:sz w:val="22"/>
        </w:rPr>
        <w:t xml:space="preserve"> dan mengamati kurva galat yang melambung tinggi alih-alih menurun.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"Standarisasi fitur (*feature scaling*) hanyalah tahapan opsional yang tidak memengaruhi hasil akhir pelatihan."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 xml:space="preserve">: Pada fitur dengan rentang skala yang sangat timpang (misal radiasi </w:t>
      </w:r>
      <m:oMath xmlns:mml="http://www.w3.org/1998/Math/MathML">
        <m:r>
          <m:t>10−25</m:t>
        </m:r>
      </m:oMath>
      <w:r>
        <w:rPr>
          <w:rFonts w:ascii="Calibri" w:hAnsi="Calibri"/>
          <w:color w:val="2D3748"/>
          <w:sz w:val="22"/>
        </w:rPr>
        <w:t xml:space="preserve"> vs konsentrasi ppm </w:t>
      </w:r>
      <m:oMath xmlns:mml="http://www.w3.org/1998/Math/MathML">
        <m:r>
          <m:t>0.001−0.005</m:t>
        </m:r>
      </m:oMath>
      <w:r>
        <w:rPr>
          <w:rFonts w:ascii="Calibri" w:hAnsi="Calibri"/>
          <w:color w:val="2D3748"/>
          <w:sz w:val="22"/>
        </w:rPr>
        <w:t>), lanskap fungsi biaya menjadi elips yang sangat pipih (</w:t>
      </w:r>
      <w:r>
        <w:rPr>
          <w:rFonts w:ascii="Calibri" w:hAnsi="Calibri"/>
          <w:i/>
          <w:color w:val="2D3748"/>
          <w:sz w:val="22"/>
        </w:rPr>
        <w:t>ill-conditioned</w:t>
      </w:r>
      <w:r>
        <w:rPr>
          <w:rFonts w:ascii="Calibri" w:hAnsi="Calibri"/>
          <w:color w:val="2D3748"/>
          <w:sz w:val="22"/>
        </w:rPr>
        <w:t xml:space="preserve">). Vektor gradien akan menunjuk hampir tegak lurus terhadap arah minimum global, memicu osilasi zigzag yang memperlambat konvergensi ribuan kali lipat atau memicu </w:t>
      </w:r>
      <w:r>
        <w:rPr>
          <w:rFonts w:ascii="Calibri" w:hAnsi="Calibri"/>
          <w:i/>
          <w:color w:val="2D3748"/>
          <w:sz w:val="22"/>
        </w:rPr>
        <w:t>gradient explosion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 xml:space="preserve">: Tunjukkan diagram lanskap kontur optimasi pada diktat dan instruksikan mahasiswa mencoba fungsi </w:t>
      </w:r>
      <w:r>
        <w:rPr>
          <w:rFonts w:ascii="Consolas" w:hAnsi="Consolas"/>
          <w:color w:val="9C1A1A"/>
          <w:sz w:val="19"/>
        </w:rPr>
        <w:t>run_bgd</w:t>
      </w:r>
      <w:r>
        <w:rPr>
          <w:rFonts w:ascii="Calibri" w:hAnsi="Calibri"/>
          <w:color w:val="2D3748"/>
          <w:sz w:val="22"/>
        </w:rPr>
        <w:t xml:space="preserve"> pada data mentah tanpa </w:t>
      </w:r>
      <w:r>
        <w:rPr>
          <w:rFonts w:ascii="Consolas" w:hAnsi="Consolas"/>
          <w:color w:val="9C1A1A"/>
          <w:sz w:val="19"/>
        </w:rPr>
        <w:t>StandardScaler</w:t>
      </w:r>
      <w:r>
        <w:rPr>
          <w:rFonts w:ascii="Calibri" w:hAnsi="Calibri"/>
          <w:color w:val="2D3748"/>
          <w:sz w:val="22"/>
        </w:rPr>
        <w:t xml:space="preserve"> untuk menyaksikan kegagalan numerik.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"Solusi analitik persamaan normal OLS selalu lebih unggul karena tidak memerlukan iterasi."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 xml:space="preserve">: Solusi persamaan normal </w:t>
      </w:r>
      <m:oMath xmlns:mml="http://www.w3.org/1998/Math/MathML">
        <m:r>
          <m:rPr>
            <m:sty m:val="bi"/>
          </m:rPr>
          <m:t>θ</m:t>
        </m:r>
        <m:r>
          <m:t>=(</m:t>
        </m:r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  <m:sSup>
          <m:e>
            <m:r>
              <m:t>)</m:t>
            </m:r>
          </m:e>
          <m:sup>
            <m:r>
              <m:t>−1</m:t>
            </m:r>
          </m:sup>
        </m:sSup>
        <m:sSup>
          <m:e>
            <m:r>
              <m:t>𝐗</m:t>
            </m:r>
          </m:e>
          <m:sup>
            <m:r>
              <m:t>T</m:t>
            </m:r>
          </m:sup>
        </m:sSup>
        <m:r>
          <m:t>𝐲</m:t>
        </m:r>
      </m:oMath>
      <w:r>
        <w:rPr>
          <w:rFonts w:ascii="Calibri" w:hAnsi="Calibri"/>
          <w:color w:val="2D3748"/>
          <w:sz w:val="22"/>
        </w:rPr>
        <w:t xml:space="preserve"> menuntut inversi matriks berdimensi </w:t>
      </w:r>
      <m:oMath xmlns:mml="http://www.w3.org/1998/Math/MathML">
        <m:r>
          <m:t>d×d</m:t>
        </m:r>
      </m:oMath>
      <w:r>
        <w:rPr>
          <w:rFonts w:ascii="Calibri" w:hAnsi="Calibri"/>
          <w:color w:val="2D3748"/>
          <w:sz w:val="22"/>
        </w:rPr>
        <w:t xml:space="preserve"> dengan kompleksitas komputasi </w:t>
      </w:r>
      <m:oMath xmlns:mml="http://www.w3.org/1998/Math/MathML">
        <m:r>
          <m:t>𝒪(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>. Pada data modern dengan puluhan ribu fitur (seperti genomik atau spektrometri), metode ini memakan memori teramat besar dan berujung pada kegagalan memori (</w:t>
      </w:r>
      <w:r>
        <w:rPr>
          <w:rFonts w:ascii="Calibri" w:hAnsi="Calibri"/>
          <w:i/>
          <w:color w:val="2D3748"/>
          <w:sz w:val="22"/>
        </w:rPr>
        <w:t>Out Of Memory</w:t>
      </w:r>
      <w:r>
        <w:rPr>
          <w:rFonts w:ascii="Calibri" w:hAnsi="Calibri"/>
          <w:color w:val="2D3748"/>
          <w:sz w:val="22"/>
        </w:rPr>
        <w:t xml:space="preserve"> / OOM).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 xml:space="preserve">: Bandingkan tabel komparasi pada Bagian 5 diktat: tegaskan bahwa untuk </w:t>
      </w:r>
      <m:oMath xmlns:mml="http://www.w3.org/1998/Math/MathML">
        <m:r>
          <m:t>d&gt;20.000</m:t>
        </m:r>
      </m:oMath>
      <w:r>
        <w:rPr>
          <w:rFonts w:ascii="Calibri" w:hAnsi="Calibri"/>
          <w:color w:val="2D3748"/>
          <w:sz w:val="22"/>
        </w:rPr>
        <w:t>, algoritma berbasis Mini-Batch GD merupakan satu-satunya pilihan yang terukur (</w:t>
      </w:r>
      <w:r>
        <w:rPr>
          <w:rFonts w:ascii="Calibri" w:hAnsi="Calibri"/>
          <w:i/>
          <w:color w:val="2D3748"/>
          <w:sz w:val="22"/>
        </w:rPr>
        <w:t>scalable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"Stochastic Gradient Descent (SGD) dan Batch Gradient Descent (BGD) selalu konvergen ke titik parameter yang identik persis."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 xml:space="preserve">: BGD berhenti persis pada titik stasioner di mana </w:t>
      </w:r>
      <m:oMath xmlns:mml="http://www.w3.org/1998/Math/MathML">
        <m:r>
          <m:t>∇J(</m:t>
        </m:r>
        <m:r>
          <m:rPr>
            <m:sty m:val="bi"/>
          </m:rPr>
          <m:t>θ</m:t>
        </m:r>
        <m:r>
          <m:t>)=</m:t>
        </m:r>
        <m:r>
          <m:rPr>
            <m:sty m:val="b"/>
          </m:rPr>
          <m:t>0</m:t>
        </m:r>
      </m:oMath>
      <w:r>
        <w:rPr>
          <w:rFonts w:ascii="Calibri" w:hAnsi="Calibri"/>
          <w:color w:val="2D3748"/>
          <w:sz w:val="22"/>
        </w:rPr>
        <w:t>. Sebaliknya, SGD menggunakan aproksimasi gradien dari satu sampel acak yang memuat derau statistik tinggi, sehingga parameternya terus melompat-lompat di sekitar wilayah minimum tanpa pernah diam secara permanen, kecuali laju belajar diturunkan bertahap (</w:t>
      </w:r>
      <w:r>
        <w:rPr>
          <w:rFonts w:ascii="Calibri" w:hAnsi="Calibri"/>
          <w:i/>
          <w:color w:val="2D3748"/>
          <w:sz w:val="22"/>
        </w:rPr>
        <w:t>learning rate annealing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 xml:space="preserve">: Perlihatkan trajektori bergerigi SGD pada Diagram 1 dan diskusikan peran </w:t>
      </w:r>
      <w:r>
        <w:rPr>
          <w:rFonts w:ascii="Calibri" w:hAnsi="Calibri"/>
          <w:i/>
          <w:color w:val="2D3748"/>
          <w:sz w:val="22"/>
        </w:rPr>
        <w:t>Mini-Batch</w:t>
      </w:r>
      <w:r>
        <w:rPr>
          <w:rFonts w:ascii="Calibri" w:hAnsi="Calibri"/>
          <w:color w:val="2D3748"/>
          <w:sz w:val="22"/>
        </w:rPr>
        <w:t xml:space="preserve"> sebagai jembatan kompromi ideal.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&amp; Pembahasan Mendalam Latihan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8.1: Analisis Konvergensi Matematis Kondisi Batas Learning Rate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Penurunan Relasi Rekursif Parameter $\theta^{(t)}$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biaya kuadratik:</w:t>
      </w:r>
    </w:p>
    <w:p>
      <w:pPr>
        <w:spacing w:before="120" w:after="120"/>
        <w:jc w:val="center"/>
      </w:pPr>
      <m:oMath xmlns:mml="http://www.w3.org/1998/Math/MathML">
        <m:r>
          <m:t>J(θ)=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t>,</m:t>
        </m:r>
        <m:r>
          <m:t>a&gt;0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Turunan pertama terhadap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dJ</m:t>
            </m:r>
          </m:num>
          <m:den>
            <m:r>
              <m:t>dθ</m:t>
            </m:r>
          </m:den>
        </m:f>
        <m:r>
          <m:t>=aθ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Aturan pembaruan </w:t>
      </w:r>
      <w:r>
        <w:rPr>
          <w:rFonts w:ascii="Calibri" w:hAnsi="Calibri"/>
          <w:i/>
          <w:color w:val="2D3748"/>
          <w:sz w:val="22"/>
        </w:rPr>
        <w:t>Gradient Descent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θ</m:t>
            </m:r>
          </m:e>
          <m:sup>
            <m:r>
              <m:t>(t+1)</m:t>
            </m:r>
          </m:sup>
        </m:sSup>
        <m:r>
          <m:t>=</m:t>
        </m:r>
        <m:sSup>
          <m:e>
            <m:r>
              <m:t>θ</m:t>
            </m:r>
          </m:e>
          <m:sup>
            <m:r>
              <m:t>(t)</m:t>
            </m:r>
          </m:sup>
        </m:sSup>
        <m:r>
          <m:t>−η</m:t>
        </m:r>
        <m:f>
          <m:fPr>
            <m:type m:val="bar"/>
          </m:fPr>
          <m:num>
            <m:r>
              <m:t>dJ</m:t>
            </m:r>
          </m:num>
          <m:den>
            <m:r>
              <m:t>dθ</m:t>
            </m:r>
          </m:den>
        </m:f>
        <m:r>
          <m:t>(</m:t>
        </m:r>
        <m:sSup>
          <m:e>
            <m:r>
              <m:t>θ</m:t>
            </m:r>
          </m:e>
          <m:sup>
            <m:r>
              <m:t>(t)</m:t>
            </m:r>
          </m:sup>
        </m:sSup>
        <m:r>
          <m:t>)=</m:t>
        </m:r>
        <m:sSup>
          <m:e>
            <m:r>
              <m:t>θ</m:t>
            </m:r>
          </m:e>
          <m:sup>
            <m:r>
              <m:t>(t)</m:t>
            </m:r>
          </m:sup>
        </m:sSup>
        <m:r>
          <m:t>−ηa</m:t>
        </m:r>
        <m:sSup>
          <m:e>
            <m:r>
              <m:t>θ</m:t>
            </m:r>
          </m:e>
          <m:sup>
            <m:r>
              <m:t>(t)</m:t>
            </m:r>
          </m:sup>
        </m:sSup>
        <m:r>
          <m:t>=(1−ηa)</m:t>
        </m:r>
        <m:sSup>
          <m:e>
            <m:r>
              <m:t>θ</m:t>
            </m:r>
          </m:e>
          <m:sup>
            <m:r>
              <m:t>(t)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menerapkan relasi rekursif ini secara induktif dari </w:t>
      </w:r>
      <m:oMath xmlns:mml="http://www.w3.org/1998/Math/MathML">
        <m:r>
          <m:t>t=0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θ</m:t>
            </m:r>
          </m:e>
          <m:sup>
            <m:r>
              <m:t>(t)</m:t>
            </m:r>
          </m:sup>
        </m:sSup>
        <m:r>
          <m:t>=(1−ηa</m:t>
        </m:r>
        <m:sSup>
          <m:e>
            <m:r>
              <m:t>)</m:t>
            </m:r>
          </m:e>
          <m:sup>
            <m:r>
              <m:t>t</m:t>
            </m:r>
          </m:sup>
        </m:sSup>
        <m:sSup>
          <m:e>
            <m:r>
              <m:t>θ</m:t>
            </m:r>
          </m:e>
          <m:sup>
            <m:r>
              <m:t>(0)</m:t>
            </m:r>
          </m:sup>
        </m:sSup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Pembuktian Batas Konvergensi Teoretis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Agar </w:t>
      </w:r>
      <m:oMath xmlns:mml="http://www.w3.org/1998/Math/MathML">
        <m:sSub>
          <m:e>
            <m:r>
              <m:t>lim</m:t>
            </m:r>
          </m:e>
          <m:sub>
            <m:r>
              <m:t>t→∞</m:t>
            </m:r>
          </m:sub>
        </m:sSub>
        <m:sSup>
          <m:e>
            <m:r>
              <m:t>θ</m:t>
            </m:r>
          </m:e>
          <m:sup>
            <m:r>
              <m:t>(t)</m:t>
            </m:r>
          </m:sup>
        </m:sSup>
        <m:r>
          <m:t>=0</m:t>
        </m:r>
      </m:oMath>
      <w:r>
        <w:rPr>
          <w:rFonts w:ascii="Calibri" w:hAnsi="Calibri"/>
          <w:color w:val="2D3748"/>
          <w:sz w:val="22"/>
        </w:rPr>
        <w:t xml:space="preserve"> untuk sembarang inisialisasi </w:t>
      </w:r>
      <m:oMath xmlns:mml="http://www.w3.org/1998/Math/MathML">
        <m:sSup>
          <m:e>
            <m:r>
              <m:t>θ</m:t>
            </m:r>
          </m:e>
          <m:sup>
            <m:r>
              <m:t>(0)</m:t>
            </m:r>
          </m:sup>
        </m:sSup>
        <m:r>
          <m:t>≠0</m:t>
        </m:r>
      </m:oMath>
      <w:r>
        <w:rPr>
          <w:rFonts w:ascii="Calibri" w:hAnsi="Calibri"/>
          <w:color w:val="2D3748"/>
          <w:sz w:val="22"/>
        </w:rPr>
        <w:t>, faktor pengali dasar harus memenuhi kondisi kontraktif:</w:t>
      </w:r>
    </w:p>
    <w:p>
      <w:pPr>
        <w:spacing w:before="120" w:after="120"/>
        <w:jc w:val="center"/>
      </w:pPr>
      <m:oMath xmlns:mml="http://www.w3.org/1998/Math/MathML">
        <m:r>
          <m:t>|1−ηa|&lt;1⟺−1&lt;1−ηa&lt;1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Mengurangkan 1 dari seluruh pertidaksamaan:</w:t>
      </w:r>
    </w:p>
    <w:p>
      <w:pPr>
        <w:spacing w:before="120" w:after="120"/>
        <w:jc w:val="center"/>
      </w:pPr>
      <m:oMath xmlns:mml="http://www.w3.org/1998/Math/MathML">
        <m:r>
          <m:t>−2&lt;−ηa&lt;0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Mengalikan dengan </w:t>
      </w:r>
      <m:oMath xmlns:mml="http://www.w3.org/1998/Math/MathML">
        <m:r>
          <m:t>−1</m:t>
        </m:r>
      </m:oMath>
      <w:r>
        <w:rPr>
          <w:rFonts w:ascii="Calibri" w:hAnsi="Calibri"/>
          <w:color w:val="2D3748"/>
          <w:sz w:val="22"/>
        </w:rPr>
        <w:t xml:space="preserve"> (membalik tanda pertidaksamaan):</w:t>
      </w:r>
    </w:p>
    <w:p>
      <w:pPr>
        <w:spacing w:before="120" w:after="120"/>
        <w:jc w:val="center"/>
      </w:pPr>
      <m:oMath xmlns:mml="http://www.w3.org/1998/Math/MathML">
        <m:r>
          <m:t>0&lt;ηa&lt;2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r>
          <m:t>a&gt;0</m:t>
        </m:r>
      </m:oMath>
      <w:r>
        <w:rPr>
          <w:rFonts w:ascii="Calibri" w:hAnsi="Calibri"/>
          <w:color w:val="2D3748"/>
          <w:sz w:val="22"/>
        </w:rPr>
        <w:t xml:space="preserve">, maka rentang nilai tingkat pembelajaran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yang menjamin konvergensi stabil adalah:</w:t>
      </w:r>
    </w:p>
    <w:p>
      <w:pPr>
        <w:spacing w:before="120" w:after="120"/>
        <w:jc w:val="center"/>
      </w:pPr>
      <m:oMath xmlns:mml="http://www.w3.org/1998/Math/MathML">
        <m:r>
          <m:t>0&lt;η&lt;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t>∎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Perilaku Geometris jika $\eta &gt; \frac{2}{a}$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Faktor </w:t>
      </w:r>
      <m:oMath xmlns:mml="http://www.w3.org/1998/Math/MathML">
        <m:r>
          <m:t>|1−ηa|&gt;1</m:t>
        </m:r>
      </m:oMath>
      <w:r>
        <w:rPr>
          <w:rFonts w:ascii="Calibri" w:hAnsi="Calibri"/>
          <w:color w:val="2D3748"/>
          <w:sz w:val="22"/>
        </w:rPr>
        <w:t xml:space="preserve">. Pada setiap langkah pembaruan, tanda nilai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 xml:space="preserve"> berganti-ganti (berosilasi) dengan magnitudo yang semakin membesar secara eksponensial. Secara geometris, langkah pembaruan melompati dasar parabolik dan mendarat pada lereng seberang pada ketinggian yang lebih curam, memicu divergensi numerik menuju </w:t>
      </w:r>
      <m:oMath xmlns:mml="http://www.w3.org/1998/Math/MathML">
        <m:r>
          <m:t>±∞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8.2: Diagnostik Kasus Komputasi Gradient Explosion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Mekanisme Meledaknya Gradien Tanpa Normalisasi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Residu kesalahan adalah </w:t>
      </w:r>
      <m:oMath xmlns:mml="http://www.w3.org/1998/Math/MathML">
        <m:sSub>
          <m:e>
            <m:r>
              <m:t>e</m:t>
            </m:r>
          </m:e>
          <m:sub>
            <m:r>
              <m:t>i</m:t>
            </m:r>
          </m:sub>
        </m:sSub>
        <m:r>
          <m:t>=(</m:t>
        </m:r>
        <m:sSubSup>
          <m:e>
            <m:r>
              <m:t>𝐱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bi"/>
          </m:rPr>
          <m:t>θ</m:t>
        </m:r>
        <m: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 Vektor gradien untuk satu batch adalah: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J=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b</m:t>
            </m:r>
          </m:sup>
          <m:e/>
        </m:nary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𝐱</m:t>
            </m:r>
          </m:e>
          <m:sub>
            <m:r>
              <m:t>i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Jika fitur spektral memiliki magnitudo besar (</w:t>
      </w:r>
      <m:oMath xmlns:mml="http://www.w3.org/1998/Math/MathML">
        <m:sSub>
          <m:e>
            <m:r>
              <m:t>x</m:t>
            </m:r>
          </m:e>
          <m:sub>
            <m:r>
              <m:t>ij</m:t>
            </m:r>
          </m:sub>
        </m:sSub>
        <m:r>
          <m:t>~4095</m:t>
        </m:r>
      </m:oMath>
      <w:r>
        <w:rPr>
          <w:rFonts w:ascii="Calibri" w:hAnsi="Calibri"/>
          <w:color w:val="2D3748"/>
          <w:sz w:val="22"/>
        </w:rPr>
        <w:t xml:space="preserve">), perkalian </w:t>
      </w:r>
      <m:oMath xmlns:mml="http://www.w3.org/1998/Math/MathML">
        <m:sSubSup>
          <m:e>
            <m:r>
              <m:t>𝐱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bi"/>
          </m:rPr>
          <m:t>θ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𝐱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akan menghasilkan gradien yang berskala jutaan (</w:t>
      </w:r>
      <m:oMath xmlns:mml="http://www.w3.org/1998/Math/MathML">
        <m:r>
          <m:t>~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). Dalam beberapa langkah perkalian </w:t>
      </w:r>
      <m:oMath xmlns:mml="http://www.w3.org/1998/Math/MathML">
        <m:sSup>
          <m:e>
            <m:r>
              <m:rPr>
                <m:sty m:val="bi"/>
              </m:rPr>
              <m:t>θ</m:t>
            </m:r>
          </m:e>
          <m:sup>
            <m:r>
              <m:t>(t+1)</m:t>
            </m:r>
          </m:sup>
        </m:sSup>
        <m:r>
          <m:t>=</m:t>
        </m:r>
        <m:sSup>
          <m:e>
            <m:r>
              <m:rPr>
                <m:sty m:val="bi"/>
              </m:rPr>
              <m:t>θ</m:t>
            </m:r>
          </m:e>
          <m:sup>
            <m:r>
              <m:t>(t)</m:t>
            </m:r>
          </m:sup>
        </m:sSup>
        <m:r>
          <m:t>−η∇J</m:t>
        </m:r>
      </m:oMath>
      <w:r>
        <w:rPr>
          <w:rFonts w:ascii="Calibri" w:hAnsi="Calibri"/>
          <w:color w:val="2D3748"/>
          <w:sz w:val="22"/>
        </w:rPr>
        <w:t xml:space="preserve">, nilai bobot berlipat ganda secara eksponensial hingga melampaui batas maksimum representasi </w:t>
      </w:r>
      <w:r>
        <w:rPr>
          <w:rFonts w:ascii="Calibri" w:hAnsi="Calibri"/>
          <w:i/>
          <w:color w:val="2D3748"/>
          <w:sz w:val="22"/>
        </w:rPr>
        <w:t>floating point</w:t>
      </w:r>
      <w:r>
        <w:rPr>
          <w:rFonts w:ascii="Calibri" w:hAnsi="Calibri"/>
          <w:color w:val="2D3748"/>
          <w:sz w:val="22"/>
        </w:rPr>
        <w:t xml:space="preserve"> IEEE 754 (sekitar </w:t>
      </w:r>
      <m:oMath xmlns:mml="http://www.w3.org/1998/Math/MathML">
        <m:r>
          <m:t>1.8×</m:t>
        </m:r>
        <m:sSup>
          <m:e>
            <m:r>
              <m:t>10</m:t>
            </m:r>
          </m:e>
          <m:sup>
            <m:r>
              <m:t>308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untuk </w:t>
      </w:r>
      <w:r>
        <w:rPr>
          <w:rFonts w:ascii="Calibri" w:hAnsi="Calibri"/>
          <w:i/>
          <w:color w:val="2D3748"/>
          <w:sz w:val="22"/>
        </w:rPr>
        <w:t>float64</w:t>
      </w:r>
      <w:r>
        <w:rPr>
          <w:rFonts w:ascii="Calibri" w:hAnsi="Calibri"/>
          <w:color w:val="2D3748"/>
          <w:sz w:val="22"/>
        </w:rPr>
        <w:t xml:space="preserve">), sehingga sistem komputasi mencatatnya sebagai </w:t>
      </w:r>
      <w:r>
        <w:rPr>
          <w:rFonts w:ascii="Consolas" w:hAnsi="Consolas"/>
          <w:color w:val="9C1A1A"/>
          <w:sz w:val="19"/>
        </w:rPr>
        <w:t>Inf</w:t>
      </w:r>
      <w:r>
        <w:rPr>
          <w:rFonts w:ascii="Calibri" w:hAnsi="Calibri"/>
          <w:color w:val="2D3748"/>
          <w:sz w:val="22"/>
        </w:rPr>
        <w:t xml:space="preserve"> lalu menghasilkan operasi tak terdefinisi 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Rancangan Solusi Rekayasa Komprehensif Tiga Pilar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Pilar 1 (Standarisasi Z-Score Masukan)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norm</m:t>
            </m:r>
          </m:sub>
        </m:sSub>
        <m:r>
          <m:t>=</m:t>
        </m:r>
        <m:f>
          <m:fPr>
            <m:type m:val="bar"/>
          </m:fPr>
          <m:num>
            <m:r>
              <m:t>x−μ</m:t>
            </m:r>
          </m:num>
          <m:den>
            <m:r>
              <m:t>σ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Menstandarisasi nilai masukan ke rentang rerata 0 dan variansi 1, sehingga lanskap fungsi biaya memiliki kurvatur simetris melingkar (</w:t>
      </w:r>
      <w:r>
        <w:rPr>
          <w:rFonts w:ascii="Calibri" w:hAnsi="Calibri"/>
          <w:i/>
          <w:color w:val="2D3748"/>
          <w:sz w:val="22"/>
        </w:rPr>
        <w:t>isotropic</w:t>
      </w:r>
      <w:r>
        <w:rPr>
          <w:rFonts w:ascii="Calibri" w:hAnsi="Calibri"/>
          <w:color w:val="2D3748"/>
          <w:sz w:val="22"/>
        </w:rPr>
        <w:t>) dengan nilai eigen kovariansi teratur.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Pilar 2 (Gradient Clipping)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Membatasi norma vektor gradien menggunakan pemotongan norma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𝐠≤ftarrow𝐠·</m:t>
        </m:r>
        <m:f>
          <m:fPr>
            <m:type m:val="bar"/>
          </m:fPr>
          <m:num>
            <m:r>
              <m:t>c</m:t>
            </m:r>
          </m:num>
          <m:den>
            <m:r>
              <m:t>max(c,‖𝐠</m:t>
            </m:r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  <m:r>
              <m:t>)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ambang batas </w:t>
      </w:r>
      <m:oMath xmlns:mml="http://www.w3.org/1998/Math/MathML">
        <m:r>
          <m:t>c=1.0</m:t>
        </m:r>
      </m:oMath>
      <w:r>
        <w:rPr>
          <w:rFonts w:ascii="Calibri" w:hAnsi="Calibri"/>
          <w:color w:val="2D3748"/>
          <w:sz w:val="22"/>
        </w:rPr>
        <w:t xml:space="preserve">. Jika gradien melonjak tajam akibat sampel anomali, arah gradien tetap dipertahankan namun panjang vektornya dipaksa maksimum sebesar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Pilar 3 (Optimizer Adaptif Adam)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Mengganti SGD konvensional dengan Adam (</w:t>
      </w:r>
      <w:r>
        <w:rPr>
          <w:rFonts w:ascii="Calibri" w:hAnsi="Calibri"/>
          <w:i/>
          <w:color w:val="2D3748"/>
          <w:sz w:val="22"/>
        </w:rPr>
        <w:t>Adaptive Moment Estimation</w:t>
      </w:r>
      <w:r>
        <w:rPr>
          <w:rFonts w:ascii="Calibri" w:hAnsi="Calibri"/>
          <w:color w:val="2D3748"/>
          <w:sz w:val="22"/>
        </w:rPr>
        <w:t>) yang membagi pembaruan dengan akar rata-rata kuadrat gradien historis (</w:t>
      </w:r>
      <m:oMath xmlns:mml="http://www.w3.org/1998/Math/MathML"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>), secara otomatis meredam lonjakan gradien besar.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8.3: Desain Eksperimental Optimizer Skenario Streaming IoT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Kegagalan BGD dan Persamaan Normal pada Data Aliran (*Streaming*)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Persamaan normal OLS membutuhkan keberadaan seluruh matriks desain </w:t>
      </w:r>
      <m:oMath xmlns:mml="http://www.w3.org/1998/Math/MathML">
        <m:r>
          <m:t>𝐗∈</m:t>
        </m:r>
        <m:sSup>
          <m:e>
            <m:r>
              <m:t>ℝ</m:t>
            </m:r>
          </m:e>
          <m:sup>
            <m:r>
              <m:t>n×d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secara lengkap di dalam memori RAM. Pada aliran data sensor terus menerus (</w:t>
      </w:r>
      <m:oMath xmlns:mml="http://www.w3.org/1998/Math/MathML">
        <m:r>
          <m:t>n→∞</m:t>
        </m:r>
      </m:oMath>
      <w:r>
        <w:rPr>
          <w:rFonts w:ascii="Calibri" w:hAnsi="Calibri"/>
          <w:color w:val="2D3748"/>
          <w:sz w:val="22"/>
        </w:rPr>
        <w:t>), matriks tersebut berukuran tak berhingga sehingga mustahil disimpan dan diinversi.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Batch Gradient Descent (BGD) menuntut komputasi rata-rata gradien atas seluruh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sebelum melakukan satu langkah pembaruan parameter. Menunggu seluruh aliran data tiba berarti pembaruan model tidak akan pernah terjadi (</w:t>
      </w:r>
      <w:r>
        <w:rPr>
          <w:rFonts w:ascii="Calibri" w:hAnsi="Calibri"/>
          <w:i/>
          <w:color w:val="2D3748"/>
          <w:sz w:val="22"/>
        </w:rPr>
        <w:t>infinite blocking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Arsitektur Pembaruan Model Online Streaming Berbasis Adam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Alur Kerja Pembaruan</w:t>
      </w:r>
      <w:r>
        <w:rPr>
          <w:rFonts w:ascii="Calibri" w:hAnsi="Calibri"/>
          <w:color w:val="2D3748"/>
          <w:sz w:val="22"/>
        </w:rPr>
        <w:t xml:space="preserve">: Setiap paket data mini-batch tiba dari sensor (misal </w:t>
      </w:r>
      <m:oMath xmlns:mml="http://www.w3.org/1998/Math/MathML">
        <m:r>
          <m:t>b=32</m:t>
        </m:r>
      </m:oMath>
      <w:r>
        <w:rPr>
          <w:rFonts w:ascii="Calibri" w:hAnsi="Calibri"/>
          <w:color w:val="2D3748"/>
          <w:sz w:val="22"/>
        </w:rPr>
        <w:t xml:space="preserve"> pembacaan), parameter model diperbarui secara langsung melalui satu langkah inferensi-koreksi (</w:t>
      </w:r>
      <w:r>
        <w:rPr>
          <w:rFonts w:ascii="Calibri" w:hAnsi="Calibri"/>
          <w:i/>
          <w:color w:val="2D3748"/>
          <w:sz w:val="22"/>
        </w:rPr>
        <w:t>streaming online update</w:t>
      </w:r>
      <w:r>
        <w:rPr>
          <w:rFonts w:ascii="Calibri" w:hAnsi="Calibri"/>
          <w:color w:val="2D3748"/>
          <w:sz w:val="22"/>
        </w:rPr>
        <w:t>) tanpa perlu menyimpan riwayat data lampau.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Mekanisme Peluruhan Learning Rate (*Learning Rate Annealing*)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menjamin algoritma tidak terus berosilasi seiring bertambahnya usia operasional model, diterapkan aturan peluruhan waktu terbalik (</w:t>
      </w:r>
      <w:r>
        <w:rPr>
          <w:rFonts w:ascii="Calibri" w:hAnsi="Calibri"/>
          <w:i/>
          <w:color w:val="2D3748"/>
          <w:sz w:val="22"/>
        </w:rPr>
        <w:t>inverse time decay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η</m:t>
                </m:r>
              </m:e>
              <m:sub>
                <m:r>
                  <m:t>0</m:t>
                </m:r>
              </m:sub>
            </m:sSub>
          </m:num>
          <m:den>
            <m:r>
              <m:t>1+γ·t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atau peluruhan eksponensial </w:t>
      </w:r>
      <m:oMath xmlns:mml="http://www.w3.org/1998/Math/MathML"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·</m:t>
        </m:r>
        <m:sSup>
          <m:e>
            <m:r>
              <m:t>γ</m:t>
            </m:r>
          </m:e>
          <m:sup>
            <m:f>
              <m:fPr>
                <m:type m:val="lin"/>
              </m:fPr>
              <m:num>
                <m:r>
                  <m:t>t</m:t>
                </m:r>
              </m:num>
              <m:den>
                <m:r>
                  <m:t>T</m:t>
                </m:r>
              </m:den>
            </m:f>
          </m:sup>
        </m:sSup>
      </m:oMath>
      <w:r>
        <w:rPr>
          <w:rFonts w:ascii="Calibri" w:hAnsi="Calibri"/>
          <w:color w:val="2D3748"/>
          <w:sz w:val="22"/>
        </w:rPr>
        <w:t xml:space="preserve">, di mana </w:t>
      </w:r>
      <m:oMath xmlns:mml="http://www.w3.org/1998/Math/MathML">
        <m:sSub>
          <m:e>
            <m:r>
              <m:t>η</m:t>
            </m:r>
          </m:e>
          <m:sub>
            <m:r>
              <m:t>0</m:t>
            </m:r>
          </m:sub>
        </m:sSub>
        <m:r>
          <m:t>=0.01</m:t>
        </m:r>
      </m:oMath>
      <w:r>
        <w:rPr>
          <w:rFonts w:ascii="Calibri" w:hAnsi="Calibri"/>
          <w:color w:val="2D3748"/>
          <w:sz w:val="22"/>
        </w:rPr>
        <w:t xml:space="preserve"> adalah laju awal, </w:t>
      </w:r>
      <m:oMath xmlns:mml="http://www.w3.org/1998/Math/MathML">
        <m:r>
          <m:t>γ</m:t>
        </m:r>
      </m:oMath>
      <w:r>
        <w:rPr>
          <w:rFonts w:ascii="Calibri" w:hAnsi="Calibri"/>
          <w:color w:val="2D3748"/>
          <w:sz w:val="22"/>
        </w:rPr>
        <w:t xml:space="preserve"> adalah faktor peredam, dan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 adalah indeks langkah waktu. Aturan ini memenuhi kondisi konvergensi Robbins-Monro:</w:t>
      </w:r>
    </w:p>
    <w:p>
      <w:pPr>
        <w:spacing w:before="120" w:after="120"/>
        <w:jc w:val="center"/>
      </w:pPr>
      <m:oMath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t=1</m:t>
            </m:r>
          </m:sub>
          <m:sup>
            <m:r>
              <m:t>∞</m:t>
            </m:r>
          </m:sup>
          <m:e/>
        </m:nary>
        <m:sSub>
          <m:e>
            <m:r>
              <m:t>η</m:t>
            </m:r>
          </m:e>
          <m:sub>
            <m:r>
              <m:t>t</m:t>
            </m:r>
          </m:sub>
        </m:sSub>
        <m:r>
          <m:t>=∞</m:t>
        </m:r>
        <m:r>
          <m:rPr>
            <m:nor/>
          </m:rPr>
          <m:t>dan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t=1</m:t>
            </m:r>
          </m:sub>
          <m:sup>
            <m:r>
              <m:t>∞</m:t>
            </m:r>
          </m:sup>
          <m:e/>
        </m:nary>
        <m:sSubSup>
          <m:e>
            <m:r>
              <m:t>η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&lt;∞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yang secara teoritis menjamin konvergensi asimtotik stabil menuju parameter optimal global.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Memuaskan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Memuaskan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Cukup /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Penurunan Formula Gradien &amp; Batas Konvergensi (C4)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Menurunkan relasi rekursif parameter dengan tepat; membuktikan batas stabilitas </w:t>
            </w:r>
            <m:oMath xmlns:mml="http://www.w3.org/1998/Math/MathML">
              <m:r>
                <m:t>η&lt;2/a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secara aljabar; menguraikan kondisi geometris divergensi.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menurunkan bentuk rekursif namun terdapat celah logika pada pembuktian batas pertidaksamaan.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kekeliruan mendasar dalam kalkulus turunan fungsi kuadratik atau gagal memahami arti batas kestabilan.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Komputasi Algoritma Optimasi (C3/C4)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Berhasil mengimplementasikan BGD, SGD, dan MBGD dari dasar dengan benar; mengelola pengacakan indeks per epoch; menghitung trajektori fungsi biaya.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Mengimplementasikan salah satu algoritma dengan hasil valid namun logika pengacakan batch masih kurang efisien.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optimasi gagal konvergen atau menghasilkan eror eksekusi numerik (</w:t>
            </w:r>
            <w:r>
              <w:rPr>
                <w:rFonts w:ascii="Consolas" w:hAnsi="Consolas"/>
                <w:color w:val="9C1A1A"/>
                <w:sz w:val="19"/>
              </w:rPr>
              <w:t>NaN</w:t>
            </w:r>
            <w:r>
              <w:rPr>
                <w:rFonts w:ascii="Calibri" w:hAnsi="Calibri"/>
                <w:color w:val="2D3748"/>
                <w:sz w:val="19"/>
              </w:rPr>
              <w:t>/</w:t>
            </w:r>
            <w:r>
              <w:rPr>
                <w:rFonts w:ascii="Consolas" w:hAnsi="Consolas"/>
                <w:color w:val="9C1A1A"/>
                <w:sz w:val="19"/>
              </w:rPr>
              <w:t>Overflow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Kurva Konvergensi &amp; Hyperparameter (C4/C5)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Menganalisis pengaruh </w:t>
            </w:r>
            <m:oMath xmlns:mml="http://www.w3.org/1998/Math/MathML">
              <m:r>
                <m:t>η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secara komparatif; mengidentifikasi kurva stagnan vs divergen; menjelaskan hubungan standarisasi fitur dengan bentuk kontur.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membaca arah kurva loss namun penjelasan kaitan antara penskalaan data dan bentuk kontur elips kurang mendalam.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menginterpretasikan grafik skala logaritma loss curve atau keliru menafsirkan tanda-tanda konvergensi.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Perancangan Arsitektur Edge Streaming (C5)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Merancang solusi </w:t>
            </w:r>
            <w:r>
              <w:rPr>
                <w:rFonts w:ascii="Calibri" w:hAnsi="Calibri"/>
                <w:i/>
                <w:color w:val="2D3748"/>
                <w:sz w:val="19"/>
              </w:rPr>
              <w:t>online update</w:t>
            </w:r>
            <w:r>
              <w:rPr>
                <w:rFonts w:ascii="Calibri" w:hAnsi="Calibri"/>
                <w:color w:val="2D3748"/>
                <w:sz w:val="19"/>
              </w:rPr>
              <w:t xml:space="preserve"> untuk streaming IoT perkebunan secara komprehensif; menguraikan mekanisme peluruhan laju belajar Robbins-Monro.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konsep pembaruan online dengan benar namun rancangan penyesuaian laju belajarnya kurang spesifik.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Mengusulkan metode batch yang tidak realistis untuk skenario data streaming kontinu tanpa akhir.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