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11.4: Panduan Instruktur dan Kunci Solusi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AI-11-04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Topik Utama</w:t>
      </w:r>
      <w:r>
        <w:rPr>
          <w:rFonts w:ascii="Calibri" w:hAnsi="Calibri"/>
          <w:color w:val="2D3748"/>
          <w:sz w:val="22"/>
        </w:rPr>
        <w:t>: Binerisasi Citra, Formulasi Otsu, dan Adaptive Thresholding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Derivasi Otsu, 70 Menit Praktikum Komputer, 30 Menit Evaluasi)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Bahan Ajar &amp; Alat</w:t>
      </w:r>
      <w:r>
        <w:rPr>
          <w:rFonts w:ascii="Calibri" w:hAnsi="Calibri"/>
          <w:color w:val="2D3748"/>
          <w:sz w:val="22"/>
        </w:rPr>
        <w:t>: Slide Perkuliahan, Diktat Teori Modul 11.4, Jupyter Notebook Praktikum, Proyektor, Python 3.10 + OpenCV.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Garis Waktu Instruksional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00 - 25</w:t>
      </w:r>
      <w:r>
        <w:rPr>
          <w:rFonts w:ascii="Calibri" w:hAnsi="Calibri"/>
          <w:color w:val="2D3748"/>
          <w:sz w:val="22"/>
        </w:rPr>
        <w:t>: Konsep binerisasi citra, pembagian kelas foreground-background, dan kelemahan thresholding global statis.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25 - 50</w:t>
      </w:r>
      <w:r>
        <w:rPr>
          <w:rFonts w:ascii="Calibri" w:hAnsi="Calibri"/>
          <w:color w:val="2D3748"/>
          <w:sz w:val="22"/>
        </w:rPr>
        <w:t xml:space="preserve">: Pembuktian matematis kriteria maksimasi varians antar-kelas Otsu </w:t>
      </w:r>
      <m:oMath xmlns:mml="http://www.w3.org/1998/Math/MathML"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t>(T)</m:t>
        </m:r>
      </m:oMath>
      <w:r>
        <w:rPr>
          <w:rFonts w:ascii="Calibri" w:hAnsi="Calibri"/>
          <w:color w:val="2D3748"/>
          <w:sz w:val="22"/>
        </w:rPr>
        <w:t xml:space="preserve"> dan mekanisme Adaptive Gaussian.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50 - 120</w:t>
      </w:r>
      <w:r>
        <w:rPr>
          <w:rFonts w:ascii="Calibri" w:hAnsi="Calibri"/>
          <w:color w:val="2D3748"/>
          <w:sz w:val="22"/>
        </w:rPr>
        <w:t>: Praktikum komputer: pembuatan citra sintetis kanopi berbayangan, perbandingan global vs Otsu vs adaptif, dan visualisasi masker.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120 - 150</w:t>
      </w:r>
      <w:r>
        <w:rPr>
          <w:rFonts w:ascii="Calibri" w:hAnsi="Calibri"/>
          <w:color w:val="2D3748"/>
          <w:sz w:val="22"/>
        </w:rPr>
        <w:t>: Pembahasan potensi kendala teknis ukuran jendela ganjil dan pengantar Modul 11.5 (Contour Detection).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Rubrik Asesmen &amp; Evaluasi Kinerja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Sangat Memuaskan (85 - 100)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Cukup (70 - 84)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Perlu Perbaikan (&lt; 70)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Teoretis Otsu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Menguraikan langkah penurunan varians antar-kelas dan syarat histogram bimodal secara runtut.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fungsi Otsu namun kurang mendalam pada formulasi varians statistik.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membedakan antara varians intra-kelas dan varians antar-kelas.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Adaptive Threshold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Menerapkan </w:t>
            </w:r>
            <w:r>
              <w:rPr>
                <w:rFonts w:ascii="Consolas" w:hAnsi="Consolas"/>
                <w:color w:val="9C1A1A"/>
                <w:sz w:val="19"/>
              </w:rPr>
              <w:t>cv2.adaptiveThreshold()</w:t>
            </w:r>
            <w:r>
              <w:rPr>
                <w:rFonts w:ascii="Calibri" w:hAnsi="Calibri"/>
                <w:color w:val="2D3748"/>
                <w:sz w:val="19"/>
              </w:rPr>
              <w:t xml:space="preserve"> dengan penentuan parameter </w:t>
            </w:r>
            <w:r>
              <w:rPr>
                <w:rFonts w:ascii="Consolas" w:hAnsi="Consolas"/>
                <w:color w:val="9C1A1A"/>
                <w:sz w:val="19"/>
              </w:rPr>
              <w:t>blockSize</w:t>
            </w:r>
            <w:r>
              <w:rPr>
                <w:rFonts w:ascii="Calibri" w:hAnsi="Calibri"/>
                <w:color w:val="2D3748"/>
                <w:sz w:val="19"/>
              </w:rPr>
              <w:t xml:space="preserve"> ganjil dan konstanta </w:t>
            </w:r>
            <m:oMath xmlns:mml="http://www.w3.org/1998/Math/MathML">
              <m:r>
                <m:t>C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yang tepat.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menjalankan fungsi adaptif namun memilih ukuran jendela yang terlalu kecil.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Terjadi galat komputasi akibat memasukkan angka genap pada </w:t>
            </w:r>
            <w:r>
              <w:rPr>
                <w:rFonts w:ascii="Consolas" w:hAnsi="Consolas"/>
                <w:color w:val="9C1A1A"/>
                <w:sz w:val="19"/>
              </w:rPr>
              <w:t>blockSize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Hasil Binarisasi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Menginterpretasi mengapa metode adaptif unggul menghadapi gradien pencahayaan lapangan secara komprehensif.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Mengetahui bahwa metode adaptif lebih baik namun analisis teknisnya masih minim.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mampu membaca hasil visualisasi perbedaan masker ketiga metode.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Soal Latihan &amp; Evaluasi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1: Analisis Varians Otsu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Diketahui 10 piksel: </w:t>
      </w:r>
      <m:oMath xmlns:mml="http://www.w3.org/1998/Math/MathML">
        <m:r>
          <m:t>[10,12,15,18,20,180,190,200,210,220]</m:t>
        </m:r>
      </m:oMath>
      <w:r>
        <w:rPr>
          <w:rFonts w:ascii="Calibri" w:hAnsi="Calibri"/>
          <w:color w:val="2D3748"/>
          <w:sz w:val="22"/>
        </w:rPr>
        <w:t xml:space="preserve">, ambang batas </w:t>
      </w:r>
      <m:oMath xmlns:mml="http://www.w3.org/1998/Math/MathML">
        <m:r>
          <m:t>T=50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Probabilitas Kumulatif Kelas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Kelas </w:t>
      </w:r>
      <m:oMath xmlns:mml="http://www.w3.org/1998/Math/MathML">
        <m:sSub>
          <m:e>
            <m:r>
              <m:t>𝒞</m:t>
            </m:r>
          </m:e>
          <m:sub>
            <m:r>
              <m:t>0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(intensitas </w:t>
      </w:r>
      <m:oMath xmlns:mml="http://www.w3.org/1998/Math/MathML">
        <m:r>
          <m:t>≤50</m:t>
        </m:r>
      </m:oMath>
      <w:r>
        <w:rPr>
          <w:rFonts w:ascii="Calibri" w:hAnsi="Calibri"/>
          <w:color w:val="2D3748"/>
          <w:sz w:val="22"/>
        </w:rPr>
        <w:t xml:space="preserve">): ada 5 piksel </w:t>
      </w:r>
      <m:oMath xmlns:mml="http://www.w3.org/1998/Math/MathML">
        <m:r>
          <m:t>[10,12,15,18,20]</m:t>
        </m:r>
      </m:oMath>
      <w:r>
        <w:rPr>
          <w:rFonts w:ascii="Calibri" w:hAnsi="Calibri"/>
          <w:color w:val="2D3748"/>
          <w:sz w:val="22"/>
        </w:rPr>
        <w:t xml:space="preserve">. Maka </w:t>
      </w:r>
      <m:oMath xmlns:mml="http://www.w3.org/1998/Math/MathML">
        <m:sSub>
          <m:e>
            <m:r>
              <m:t>ω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10</m:t>
            </m:r>
          </m:den>
        </m:f>
        <m:r>
          <m:t>=0.5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Kelas </w:t>
      </w:r>
      <m:oMath xmlns:mml="http://www.w3.org/1998/Math/MathML">
        <m:sSub>
          <m:e>
            <m:r>
              <m:t>𝒞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(intensitas </w:t>
      </w:r>
      <m:oMath xmlns:mml="http://www.w3.org/1998/Math/MathML">
        <m:r>
          <m:t>&gt;50</m:t>
        </m:r>
      </m:oMath>
      <w:r>
        <w:rPr>
          <w:rFonts w:ascii="Calibri" w:hAnsi="Calibri"/>
          <w:color w:val="2D3748"/>
          <w:sz w:val="22"/>
        </w:rPr>
        <w:t xml:space="preserve">): ada 5 piksel </w:t>
      </w:r>
      <m:oMath xmlns:mml="http://www.w3.org/1998/Math/MathML">
        <m:r>
          <m:t>[180,190,200,210,220]</m:t>
        </m:r>
      </m:oMath>
      <w:r>
        <w:rPr>
          <w:rFonts w:ascii="Calibri" w:hAnsi="Calibri"/>
          <w:color w:val="2D3748"/>
          <w:sz w:val="22"/>
        </w:rPr>
        <w:t xml:space="preserve">. Maka </w:t>
      </w:r>
      <m:oMath xmlns:mml="http://www.w3.org/1998/Math/MathML">
        <m:sSub>
          <m:e>
            <m:r>
              <m:t>ω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10</m:t>
            </m:r>
          </m:den>
        </m:f>
        <m:r>
          <m:t>=0.5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Nilai Rata-rata Kelas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μ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r>
              <m:t>10+12+15+18+20</m:t>
            </m:r>
          </m:num>
          <m:den>
            <m:r>
              <m:t>5</m:t>
            </m:r>
          </m:den>
        </m:f>
        <m:r>
          <m:t>=</m:t>
        </m:r>
        <m:f>
          <m:fPr>
            <m:type m:val="bar"/>
          </m:fPr>
          <m:num>
            <m:r>
              <m:t>75</m:t>
            </m:r>
          </m:num>
          <m:den>
            <m:r>
              <m:t>5</m:t>
            </m:r>
          </m:den>
        </m:f>
        <m:r>
          <m:t>=15.0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μ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180+190+200+210+220</m:t>
            </m:r>
          </m:num>
          <m:den>
            <m:r>
              <m:t>5</m:t>
            </m:r>
          </m:den>
        </m:f>
        <m:r>
          <m:t>=</m:t>
        </m:r>
        <m:f>
          <m:fPr>
            <m:type m:val="bar"/>
          </m:fPr>
          <m:num>
            <m:r>
              <m:t>1000</m:t>
            </m:r>
          </m:num>
          <m:den>
            <m:r>
              <m:t>5</m:t>
            </m:r>
          </m:den>
        </m:f>
        <m:r>
          <m:t>=200.0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Varians Antar-Kelas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t>(T)=</m:t>
        </m:r>
        <m:sSub>
          <m:e>
            <m:r>
              <m:t>ω</m:t>
            </m:r>
          </m:e>
          <m:sub>
            <m:r>
              <m:t>0</m:t>
            </m:r>
          </m:sub>
        </m:sSub>
        <m:sSub>
          <m:e>
            <m:r>
              <m:t>ω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−</m:t>
        </m:r>
        <m:sSub>
          <m:e>
            <m:r>
              <m:t>μ</m:t>
            </m:r>
          </m:e>
          <m:sub>
            <m:r>
              <m:t>1</m:t>
            </m:r>
          </m:sub>
        </m:sSub>
        <m:sSup>
          <m:e>
            <m:r>
              <m:t>)</m:t>
            </m:r>
          </m:e>
          <m:sup>
            <m:r>
              <m:t>2</m:t>
            </m:r>
          </m:sup>
        </m:sSup>
        <m:r>
          <m:t>=(0.5)(0.5)(15.0−200.0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=0.25×(−185.0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=0.25×34225=8556.25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Nilai ini sangat tinggi karena kedua kelompok data terpisah secara sempurna oleh lembah histogram lebar di antara 20 dan 180, sehingga memaksimalkan keterpisahan kedua kelas.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2: Fenomena Objek Berlubang (Hollow Mask)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Adaptive Thresholding, nilai ambang dihitung lokal per jendela </w:t>
      </w:r>
      <m:oMath xmlns:mml="http://www.w3.org/1998/Math/MathML">
        <m:r>
          <m:t>B×B</m:t>
        </m:r>
      </m:oMath>
      <w:r>
        <w:rPr>
          <w:rFonts w:ascii="Calibri" w:hAnsi="Calibri"/>
          <w:color w:val="2D3748"/>
          <w:sz w:val="22"/>
        </w:rPr>
        <w:t xml:space="preserve">. Jika diameter tajuk daun adalah 150 piksel namun dipilih </w:t>
      </w:r>
      <w:r>
        <w:rPr>
          <w:rFonts w:ascii="Consolas" w:hAnsi="Consolas"/>
          <w:color w:val="9C1A1A"/>
          <w:sz w:val="19"/>
        </w:rPr>
        <w:t>blockSize = 7</w:t>
      </w:r>
      <w:r>
        <w:rPr>
          <w:rFonts w:ascii="Calibri" w:hAnsi="Calibri"/>
          <w:color w:val="2D3748"/>
          <w:sz w:val="22"/>
        </w:rPr>
        <w:t xml:space="preserve">, maka di bagian tengah tajuk daun yang seragam, seluruh tetangga dalam jendela </w:t>
      </w:r>
      <m:oMath xmlns:mml="http://www.w3.org/1998/Math/MathML">
        <m:r>
          <m:t>7×7</m:t>
        </m:r>
      </m:oMath>
      <w:r>
        <w:rPr>
          <w:rFonts w:ascii="Calibri" w:hAnsi="Calibri"/>
          <w:color w:val="2D3748"/>
          <w:sz w:val="22"/>
        </w:rPr>
        <w:t xml:space="preserve"> memiliki intensitas yang hampir sama (misalnya sekitar </w:t>
      </w:r>
      <m:oMath xmlns:mml="http://www.w3.org/1998/Math/MathML">
        <m:r>
          <m:t>220</m:t>
        </m:r>
      </m:oMath>
      <w:r>
        <w:rPr>
          <w:rFonts w:ascii="Calibri" w:hAnsi="Calibri"/>
          <w:color w:val="2D3748"/>
          <w:sz w:val="22"/>
        </w:rPr>
        <w:t>). Nilai ambang lokal dihitung sebagai:</w:t>
      </w:r>
    </w:p>
    <w:p>
      <w:pPr>
        <w:spacing w:before="120" w:after="120"/>
        <w:jc w:val="center"/>
      </w:pPr>
      <m:oMath xmlns:mml="http://www.w3.org/1998/Math/MathML">
        <m:r>
          <m:t>T=</m:t>
        </m:r>
        <m:r>
          <m:rPr>
            <m:nor/>
          </m:rPr>
          <m:t>Mean</m:t>
        </m:r>
        <m:r>
          <m:t>(</m:t>
        </m:r>
        <m:sSub>
          <m:e>
            <m:r>
              <m:t>I</m:t>
            </m:r>
          </m:e>
          <m:sub>
            <m:r>
              <m:rPr>
                <m:nor/>
              </m:rPr>
              <m:t>lokal</m:t>
            </m:r>
          </m:sub>
        </m:sSub>
        <m:r>
          <m:t>)−C≈220−5=215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piksel di tengah tajuk bernilai 220, jika ada sedikit fluktuasi di mana piksel bernilai 214, piksel tersebut langsung diputus menjadi 0 (hitam). Lebih parah lagi, jika intensitas seragam sempurna dan </w:t>
      </w:r>
      <m:oMath xmlns:mml="http://www.w3.org/1998/Math/MathML">
        <m:r>
          <m:t>C</m:t>
        </m:r>
      </m:oMath>
      <w:r>
        <w:rPr>
          <w:rFonts w:ascii="Calibri" w:hAnsi="Calibri"/>
          <w:color w:val="2D3748"/>
          <w:sz w:val="22"/>
        </w:rPr>
        <w:t xml:space="preserve"> positif kecil, maka kontras lokal dianggap nol sehingga algoritma menduga tidak ada tepi objek, menyebabkan bagian dalam tajuk tanaman terlubangi secara artifisial. Solusinya adalah memperbesar </w:t>
      </w:r>
      <w:r>
        <w:rPr>
          <w:rFonts w:ascii="Consolas" w:hAnsi="Consolas"/>
          <w:color w:val="9C1A1A"/>
          <w:sz w:val="19"/>
        </w:rPr>
        <w:t>blockSize</w:t>
      </w:r>
      <w:r>
        <w:rPr>
          <w:rFonts w:ascii="Calibri" w:hAnsi="Calibri"/>
          <w:color w:val="2D3748"/>
          <w:sz w:val="22"/>
        </w:rPr>
        <w:t xml:space="preserve"> melebihi diameter objek (misalnya </w:t>
      </w:r>
      <m:oMath xmlns:mml="http://www.w3.org/1998/Math/MathML">
        <m:r>
          <m:t>B=151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201</m:t>
        </m:r>
      </m:oMath>
      <w:r>
        <w:rPr>
          <w:rFonts w:ascii="Calibri" w:hAnsi="Calibri"/>
          <w:color w:val="2D3748"/>
          <w:sz w:val="22"/>
        </w:rPr>
        <w:t>) agar jendela mencakup batas tepi objek dan latar belakang.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