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A365D"/>
          <w:sz w:val="40"/>
        </w:rPr>
        <w:t>Panduan Instruktur &amp; Kunci Solusi: AI Modul 12.1 - Convolutional Neural Network (CNN)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1. Rencana Pembelajaran &amp; Alokasi Waktu (150 Menit)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00 - 30</w:t>
      </w:r>
      <w:r>
        <w:rPr>
          <w:rFonts w:ascii="Calibri" w:hAnsi="Calibri"/>
          <w:color w:val="2D3748"/>
          <w:sz w:val="22"/>
        </w:rPr>
        <w:t>: Review keterbatasan MLP konvensional pada citra dan penjelasan 3 prinsip dasar CNN (weight sharing, sparse connectivity, equivariance).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30 - 60</w:t>
      </w:r>
      <w:r>
        <w:rPr>
          <w:rFonts w:ascii="Calibri" w:hAnsi="Calibri"/>
          <w:color w:val="2D3748"/>
          <w:sz w:val="22"/>
        </w:rPr>
        <w:t>: Penurunan matematis operasi konvolusi 2D, formula dimensi spasial, dan perhitungan receptive field bertingkat.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60 - 100</w:t>
      </w:r>
      <w:r>
        <w:rPr>
          <w:rFonts w:ascii="Calibri" w:hAnsi="Calibri"/>
          <w:color w:val="2D3748"/>
          <w:sz w:val="22"/>
        </w:rPr>
        <w:t xml:space="preserve">: Praktikum komputer: Verifikasi manual NumPy vs PyTorch </w:t>
      </w:r>
      <w:r>
        <w:rPr>
          <w:rFonts w:ascii="Consolas" w:hAnsi="Consolas"/>
          <w:color w:val="9C1A1A"/>
          <w:sz w:val="19"/>
        </w:rPr>
        <w:t>Conv2d</w:t>
      </w:r>
      <w:r>
        <w:rPr>
          <w:rFonts w:ascii="Calibri" w:hAnsi="Calibri"/>
          <w:color w:val="2D3748"/>
          <w:sz w:val="22"/>
        </w:rPr>
        <w:t>, pembangunan arsitektur CNN, dan penanganan tensor 4D.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100 - 130</w:t>
      </w:r>
      <w:r>
        <w:rPr>
          <w:rFonts w:ascii="Calibri" w:hAnsi="Calibri"/>
          <w:color w:val="2D3748"/>
          <w:sz w:val="22"/>
        </w:rPr>
        <w:t>: Studi kasus deteksi bercak daun bibit kelapa sawit (</w:t>
      </w:r>
      <w:r>
        <w:rPr>
          <w:rFonts w:ascii="Calibri" w:hAnsi="Calibri"/>
          <w:i/>
          <w:color w:val="2D3748"/>
          <w:sz w:val="22"/>
        </w:rPr>
        <w:t>Curvularia</w:t>
      </w:r>
      <w:r>
        <w:rPr>
          <w:rFonts w:ascii="Calibri" w:hAnsi="Calibri"/>
          <w:color w:val="2D3748"/>
          <w:sz w:val="22"/>
        </w:rPr>
        <w:t>) dan analisis kurva konvergensi.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130 - 150</w:t>
      </w:r>
      <w:r>
        <w:rPr>
          <w:rFonts w:ascii="Calibri" w:hAnsi="Calibri"/>
          <w:color w:val="2D3748"/>
          <w:sz w:val="22"/>
        </w:rPr>
        <w:t>: Pembahasan potensi kekeliruan umum (grid boundary mismatch, border degradation) dan kuis formatif.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2. Kunci Jawaban Soal Evaluasi &amp; Mandiri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Solusi Soal Mandiri 1 (Bukti Matematis Receptive Field 3x (3x3) vs 1x (7x7))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Bukti Receptive Field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Lapisan 1 (</w:t>
      </w:r>
      <m:oMath xmlns:mml="http://www.w3.org/1998/Math/MathML">
        <m:r>
          <m:t>K=3,S=1</m:t>
        </m:r>
      </m:oMath>
      <w:r>
        <w:rPr>
          <w:rFonts w:ascii="Calibri" w:hAnsi="Calibri"/>
          <w:color w:val="2D3748"/>
          <w:sz w:val="22"/>
        </w:rPr>
        <w:t xml:space="preserve">): </w:t>
      </w:r>
      <m:oMath xmlns:mml="http://www.w3.org/1998/Math/MathML">
        <m:r>
          <m:t>R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t>=3</m:t>
        </m:r>
      </m:oMath>
      <w:r>
        <w:rPr>
          <w:rFonts w:ascii="Calibri" w:hAnsi="Calibri"/>
          <w:color w:val="2D3748"/>
          <w:sz w:val="22"/>
        </w:rPr>
        <w:t xml:space="preserve">. Jump </w:t>
      </w:r>
      <m:oMath xmlns:mml="http://www.w3.org/1998/Math/MathML">
        <m:sSub>
          <m:e>
            <m:r>
              <m:t>J</m:t>
            </m:r>
          </m:e>
          <m:sub>
            <m:r>
              <m:t>1</m:t>
            </m:r>
          </m:sub>
        </m:sSub>
        <m:r>
          <m:t>=1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Lapisan 2 (</w:t>
      </w:r>
      <m:oMath xmlns:mml="http://www.w3.org/1998/Math/MathML">
        <m:r>
          <m:t>K=3,S=1</m:t>
        </m:r>
      </m:oMath>
      <w:r>
        <w:rPr>
          <w:rFonts w:ascii="Calibri" w:hAnsi="Calibri"/>
          <w:color w:val="2D3748"/>
          <w:sz w:val="22"/>
        </w:rPr>
        <w:t xml:space="preserve">): </w:t>
      </w:r>
      <m:oMath xmlns:mml="http://www.w3.org/1998/Math/MathML">
        <m:r>
          <m:t>R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t>=R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t>+(3−1)·1=3+2=5</m:t>
        </m:r>
      </m:oMath>
      <w:r>
        <w:rPr>
          <w:rFonts w:ascii="Calibri" w:hAnsi="Calibri"/>
          <w:color w:val="2D3748"/>
          <w:sz w:val="22"/>
        </w:rPr>
        <w:t xml:space="preserve">. Jump </w:t>
      </w:r>
      <m:oMath xmlns:mml="http://www.w3.org/1998/Math/MathML">
        <m:sSub>
          <m:e>
            <m:r>
              <m:t>J</m:t>
            </m:r>
          </m:e>
          <m:sub>
            <m:r>
              <m:t>2</m:t>
            </m:r>
          </m:sub>
        </m:sSub>
        <m:r>
          <m:t>=1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Lapisan 3 (</w:t>
      </w:r>
      <m:oMath xmlns:mml="http://www.w3.org/1998/Math/MathML">
        <m:r>
          <m:t>K=3,S=1</m:t>
        </m:r>
      </m:oMath>
      <w:r>
        <w:rPr>
          <w:rFonts w:ascii="Calibri" w:hAnsi="Calibri"/>
          <w:color w:val="2D3748"/>
          <w:sz w:val="22"/>
        </w:rPr>
        <w:t xml:space="preserve">): </w:t>
      </w:r>
      <m:oMath xmlns:mml="http://www.w3.org/1998/Math/MathML">
        <m:r>
          <m:t>R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t>=R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t>+(3−1)·1=5+2=7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Lapisan tunggal </w:t>
      </w:r>
      <m:oMath xmlns:mml="http://www.w3.org/1998/Math/MathML">
        <m:r>
          <m:t>7×7</m:t>
        </m:r>
      </m:oMath>
      <w:r>
        <w:rPr>
          <w:rFonts w:ascii="Calibri" w:hAnsi="Calibri"/>
          <w:color w:val="2D3748"/>
          <w:sz w:val="22"/>
        </w:rPr>
        <w:t xml:space="preserve"> memiliki </w:t>
      </w:r>
      <m:oMath xmlns:mml="http://www.w3.org/1998/Math/MathML">
        <m:r>
          <m:t>RF=7</m:t>
        </m:r>
      </m:oMath>
      <w:r>
        <w:rPr>
          <w:rFonts w:ascii="Calibri" w:hAnsi="Calibri"/>
          <w:color w:val="2D3748"/>
          <w:sz w:val="22"/>
        </w:rPr>
        <w:t>. Terbukti identik!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Rasio Efisiensi Parameter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Untuk 3 lapisan </w:t>
      </w:r>
      <m:oMath xmlns:mml="http://www.w3.org/1998/Math/MathML">
        <m:r>
          <m:t>3×3</m:t>
        </m:r>
      </m:oMath>
      <w:r>
        <w:rPr>
          <w:rFonts w:ascii="Calibri" w:hAnsi="Calibri"/>
          <w:color w:val="2D3748"/>
          <w:sz w:val="22"/>
        </w:rPr>
        <w:t xml:space="preserve"> dengan kanal </w:t>
      </w:r>
      <m:oMath xmlns:mml="http://www.w3.org/1998/Math/MathML">
        <m:r>
          <m:t>C</m:t>
        </m:r>
      </m:oMath>
      <w:r>
        <w:rPr>
          <w:rFonts w:ascii="Calibri" w:hAnsi="Calibri"/>
          <w:color w:val="2D3748"/>
          <w:sz w:val="22"/>
        </w:rPr>
        <w:t xml:space="preserve">: </w:t>
      </w:r>
      <m:oMath xmlns:mml="http://www.w3.org/1998/Math/MathML">
        <m:r>
          <m:rPr>
            <m:nor/>
          </m:rPr>
          <m:t>Param</m:t>
        </m:r>
        <m:r>
          <m:t>=3×(C×C×3×3)=27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Untuk 1 lapisan </w:t>
      </w:r>
      <m:oMath xmlns:mml="http://www.w3.org/1998/Math/MathML">
        <m:r>
          <m:t>7×7</m:t>
        </m:r>
      </m:oMath>
      <w:r>
        <w:rPr>
          <w:rFonts w:ascii="Calibri" w:hAnsi="Calibri"/>
          <w:color w:val="2D3748"/>
          <w:sz w:val="22"/>
        </w:rPr>
        <w:t xml:space="preserve"> dengan kanal </w:t>
      </w:r>
      <m:oMath xmlns:mml="http://www.w3.org/1998/Math/MathML">
        <m:r>
          <m:t>C</m:t>
        </m:r>
      </m:oMath>
      <w:r>
        <w:rPr>
          <w:rFonts w:ascii="Calibri" w:hAnsi="Calibri"/>
          <w:color w:val="2D3748"/>
          <w:sz w:val="22"/>
        </w:rPr>
        <w:t xml:space="preserve">: </w:t>
      </w:r>
      <m:oMath xmlns:mml="http://www.w3.org/1998/Math/MathML">
        <m:r>
          <m:rPr>
            <m:nor/>
          </m:rPr>
          <m:t>Param</m:t>
        </m:r>
        <m:r>
          <m:t>=1×(C×C×7×7)=49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Rasio Penghematan</w:t>
      </w:r>
      <w:r>
        <w:rPr>
          <w:rFonts w:ascii="Calibri" w:hAnsi="Calibri"/>
          <w:color w:val="2D3748"/>
          <w:sz w:val="22"/>
        </w:rPr>
        <w:t xml:space="preserve">: </w:t>
      </w:r>
      <m:oMath xmlns:mml="http://www.w3.org/1998/Math/MathML">
        <m:f>
          <m:fPr>
            <m:type m:val="bar"/>
          </m:fPr>
          <m:num>
            <m:r>
              <m:t>27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num>
          <m:den>
            <m:r>
              <m:t>49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den>
        </m:f>
        <m:r>
          <m:t>≈0.551</m:t>
        </m:r>
      </m:oMath>
      <w:r>
        <w:rPr>
          <w:rFonts w:ascii="Calibri" w:hAnsi="Calibri"/>
          <w:color w:val="2D3748"/>
          <w:sz w:val="22"/>
        </w:rPr>
        <w:t xml:space="preserve"> (Penghematan bobot mencapai </w:t>
      </w:r>
      <w:r>
        <w:rPr>
          <w:rFonts w:ascii="Calibri" w:hAnsi="Calibri"/>
          <w:b/>
          <w:color w:val="2D3748"/>
          <w:sz w:val="22"/>
        </w:rPr>
        <w:t>44.9%</w:t>
      </w:r>
      <w:r>
        <w:rPr>
          <w:rFonts w:ascii="Calibri" w:hAnsi="Calibri"/>
          <w:color w:val="2D3748"/>
          <w:sz w:val="22"/>
        </w:rPr>
        <w:t>).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Solusi Soal Mandiri 2 (Depthwise Separable Convolution)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import torch</w:t>
              <w:br/>
              <w:t>import torch.nn as nn</w:t>
              <w:br/>
              <w:br/>
              <w:t>class DepthwiseSeparableConv2d(nn.Module):</w:t>
              <w:br/>
              <w:t xml:space="preserve">    def __init__(self, in_channels, out_channels, kernel_size=3, padding=1):</w:t>
              <w:br/>
              <w:t xml:space="preserve">        super().__init__()</w:t>
              <w:br/>
              <w:t xml:space="preserve">        # Depthwise Conv: per-channel filtering</w:t>
              <w:br/>
              <w:t xml:space="preserve">        self.depthwise = nn.Conv2d(in_channels, in_channels, kernel_size=kernel_size, </w:t>
              <w:br/>
              <w:t xml:space="preserve">                                   padding=padding, groups=in_channels, bias=False)</w:t>
              <w:br/>
              <w:t xml:space="preserve">        # Pointwise Conv: 1x1 linear combination</w:t>
              <w:br/>
              <w:t xml:space="preserve">        self.pointwise = nn.Conv2d(in_channels, out_channels, kernel_size=1, bias=True)</w:t>
              <w:br/>
              <w:t xml:space="preserve">        </w:t>
              <w:br/>
              <w:t xml:space="preserve">    def forward(self, x):</w:t>
              <w:br/>
              <w:t xml:space="preserve">        return self.pointwise(self.depthwise(x))</w:t>
              <w:br/>
              <w:br/>
              <w:t># Verifikasi parameter</w:t>
              <w:br/>
              <w:t>C_in, C_out = 64, 64</w:t>
              <w:br/>
              <w:t>std_conv = nn.Conv2d(C_in, C_out, kernel_size=3, padding=1)</w:t>
              <w:br/>
              <w:t>ds_conv = DepthwiseSeparableConv2d(C_in, C_out, kernel_size=3, padding=1)</w:t>
              <w:br/>
              <w:br/>
              <w:t>p_std = sum(p.numel() for p in std_conv.parameters())</w:t>
              <w:br/>
              <w:t>p_ds = sum(p.numel() for p in ds_conv.parameters())</w:t>
              <w:br/>
              <w:t>print(f"Param Standard Conv: {p_std} | Depthwise Separable: {p_ds} | Rasio: {p_ds / p_std:.4f}")</w:t>
              <w:br/>
              <w:t># Output rasio sekitar ~0.113 (penghematan 88.7% parameter!)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3. Rubrik Penilaian Praktikum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Kebenaran Formulasi Numerik (30%)</w:t>
      </w:r>
      <w:r>
        <w:rPr>
          <w:rFonts w:ascii="Calibri" w:hAnsi="Calibri"/>
          <w:color w:val="2D3748"/>
          <w:sz w:val="22"/>
        </w:rPr>
        <w:t xml:space="preserve">: Implementasi konvolusi NumPy menghasilkan selisih absolut </w:t>
      </w:r>
      <m:oMath xmlns:mml="http://www.w3.org/1998/Math/MathML">
        <m:r>
          <m:t>&lt;</m:t>
        </m:r>
        <m:sSup>
          <m:e>
            <m:r>
              <m:t>10</m:t>
            </m:r>
          </m:e>
          <m:sup>
            <m:r>
              <m:t>−5</m:t>
            </m:r>
          </m:sup>
        </m:sSup>
      </m:oMath>
      <w:r>
        <w:rPr>
          <w:rFonts w:ascii="Calibri" w:hAnsi="Calibri"/>
          <w:color w:val="2D3748"/>
          <w:sz w:val="22"/>
        </w:rPr>
        <w:t xml:space="preserve"> terhadap PyTorch.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Arsitektur Jaringan (30%)</w:t>
      </w:r>
      <w:r>
        <w:rPr>
          <w:rFonts w:ascii="Calibri" w:hAnsi="Calibri"/>
          <w:color w:val="2D3748"/>
          <w:sz w:val="22"/>
        </w:rPr>
        <w:t xml:space="preserve">: Pemanfaatan </w:t>
      </w:r>
      <w:r>
        <w:rPr>
          <w:rFonts w:ascii="Consolas" w:hAnsi="Consolas"/>
          <w:color w:val="9C1A1A"/>
          <w:sz w:val="19"/>
        </w:rPr>
        <w:t>BatchNorm2d</w:t>
      </w:r>
      <w:r>
        <w:rPr>
          <w:rFonts w:ascii="Calibri" w:hAnsi="Calibri"/>
          <w:color w:val="2D3748"/>
          <w:sz w:val="22"/>
        </w:rPr>
        <w:t xml:space="preserve">, fungsi aktivasi non-linear, dan </w:t>
      </w:r>
      <w:r>
        <w:rPr>
          <w:rFonts w:ascii="Consolas" w:hAnsi="Consolas"/>
          <w:color w:val="9C1A1A"/>
          <w:sz w:val="19"/>
        </w:rPr>
        <w:t>AdaptiveAvgPool2d</w:t>
      </w:r>
      <w:r>
        <w:rPr>
          <w:rFonts w:ascii="Calibri" w:hAnsi="Calibri"/>
          <w:color w:val="2D3748"/>
          <w:sz w:val="22"/>
        </w:rPr>
        <w:t xml:space="preserve"> yang tepat.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Performa Model &amp; Pelatihan (25%)</w:t>
      </w:r>
      <w:r>
        <w:rPr>
          <w:rFonts w:ascii="Calibri" w:hAnsi="Calibri"/>
          <w:color w:val="2D3748"/>
          <w:sz w:val="22"/>
        </w:rPr>
        <w:t xml:space="preserve">: Model mencapai akurasi validasi </w:t>
      </w:r>
      <m:oMath xmlns:mml="http://www.w3.org/1998/Math/MathML">
        <m:r>
          <m:t>≥95%</m:t>
        </m:r>
      </m:oMath>
      <w:r>
        <w:rPr>
          <w:rFonts w:ascii="Calibri" w:hAnsi="Calibri"/>
          <w:color w:val="2D3748"/>
          <w:sz w:val="22"/>
        </w:rPr>
        <w:t xml:space="preserve"> pada data simulasi patologi daun sawit.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Analisis &amp; Dokumentasi (15%)</w:t>
      </w:r>
      <w:r>
        <w:rPr>
          <w:rFonts w:ascii="Calibri" w:hAnsi="Calibri"/>
          <w:color w:val="2D3748"/>
          <w:sz w:val="22"/>
        </w:rPr>
        <w:t>: Analisis matematis FLOPs dan pemahaman komprehensif terhadap receptive field.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