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12.2 - Arsitektur CNN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00 - 35</w:t>
      </w:r>
      <w:r>
        <w:rPr>
          <w:rFonts w:ascii="Calibri" w:hAnsi="Calibri"/>
          <w:color w:val="2D3748"/>
          <w:sz w:val="22"/>
        </w:rPr>
        <w:t>: Telaah komparatif LeNet-5, AlexNet, VGG-16, dan ResNet.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35 - 65</w:t>
      </w:r>
      <w:r>
        <w:rPr>
          <w:rFonts w:ascii="Calibri" w:hAnsi="Calibri"/>
          <w:color w:val="2D3748"/>
          <w:sz w:val="22"/>
        </w:rPr>
        <w:t xml:space="preserve">: Penurunan matematis fenomena degradasi jaringan dan formulasi </w:t>
      </w:r>
      <w:r>
        <w:rPr>
          <w:rFonts w:ascii="Calibri" w:hAnsi="Calibri"/>
          <w:i/>
          <w:color w:val="2D3748"/>
          <w:sz w:val="22"/>
        </w:rPr>
        <w:t>Residual Learning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H(x)=F(x)+x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65 - 105</w:t>
      </w:r>
      <w:r>
        <w:rPr>
          <w:rFonts w:ascii="Calibri" w:hAnsi="Calibri"/>
          <w:color w:val="2D3748"/>
          <w:sz w:val="22"/>
        </w:rPr>
        <w:t xml:space="preserve">: Praktikum komputer: Perakitan modul </w:t>
      </w:r>
      <w:r>
        <w:rPr>
          <w:rFonts w:ascii="Consolas" w:hAnsi="Consolas"/>
          <w:color w:val="9C1A1A"/>
          <w:sz w:val="19"/>
        </w:rPr>
        <w:t>BasicBlock</w:t>
      </w:r>
      <w:r>
        <w:rPr>
          <w:rFonts w:ascii="Calibri" w:hAnsi="Calibri"/>
          <w:color w:val="2D3748"/>
          <w:sz w:val="22"/>
        </w:rPr>
        <w:t xml:space="preserve"> PyTorch, verifikasi penambahan dimensi proyeksi </w:t>
      </w:r>
      <m:oMath xmlns:mml="http://www.w3.org/1998/Math/MathML">
        <m:r>
          <m:t>1×1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105 - 130</w:t>
      </w:r>
      <w:r>
        <w:rPr>
          <w:rFonts w:ascii="Calibri" w:hAnsi="Calibri"/>
          <w:color w:val="2D3748"/>
          <w:sz w:val="22"/>
        </w:rPr>
        <w:t>: Studi kasus sortasi kematangan TBS sawit (4 fraksi kematangan) dan perbandingan FLOPs vs Akurasi.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kendala implementasi residual dan kuis pemahaman arsitektur.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(Parameter FC Layer VGG-16 vs GAP ResNet)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Kalkulasi Parameter FC VGG-16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Peta fitur keluaran konvolusi terakhir VGG-16: </w:t>
      </w:r>
      <m:oMath xmlns:mml="http://www.w3.org/1998/Math/MathML">
        <m:r>
          <m:t>7×7×512=25.088</m:t>
        </m:r>
      </m:oMath>
      <w:r>
        <w:rPr>
          <w:rFonts w:ascii="Calibri" w:hAnsi="Calibri"/>
          <w:color w:val="2D3748"/>
          <w:sz w:val="22"/>
        </w:rPr>
        <w:t xml:space="preserve"> unit.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Lapisan FC1 (</w:t>
      </w:r>
      <m:oMath xmlns:mml="http://www.w3.org/1998/Math/MathML">
        <m:r>
          <m:t>25.088→4096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r>
          <m:rPr>
            <m:nor/>
          </m:rPr>
          <m:t>Bobot</m:t>
        </m:r>
        <m:r>
          <m:t>=25.088×4096≈102.760</m:t>
        </m:r>
        <m:r>
          <m:rPr>
            <m:sty m:val="p"/>
          </m:rPr>
          <m:t>.448</m:t>
        </m:r>
      </m:oMath>
      <w:r>
        <w:rPr>
          <w:rFonts w:ascii="Calibri" w:hAnsi="Calibri"/>
          <w:color w:val="2D3748"/>
          <w:sz w:val="22"/>
        </w:rPr>
        <w:t xml:space="preserve"> parameter!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Lapisan FC2 (</w:t>
      </w:r>
      <m:oMath xmlns:mml="http://www.w3.org/1998/Math/MathML">
        <m:r>
          <m:t>4096→4096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r>
          <m:rPr>
            <m:nor/>
          </m:rPr>
          <m:t>Bobot</m:t>
        </m:r>
        <m:r>
          <m:t>=4096×4096≈16.777</m:t>
        </m:r>
        <m:r>
          <m:rPr>
            <m:sty m:val="p"/>
          </m:rPr>
          <m:t>.216</m:t>
        </m:r>
      </m:oMath>
      <w:r>
        <w:rPr>
          <w:rFonts w:ascii="Calibri" w:hAnsi="Calibri"/>
          <w:color w:val="2D3748"/>
          <w:sz w:val="22"/>
        </w:rPr>
        <w:t xml:space="preserve"> parameter.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Hanya pada 2 lapisan FC ini saja, parameter mencapai </w:t>
      </w:r>
      <w:r>
        <w:rPr>
          <w:rFonts w:ascii="Calibri" w:hAnsi="Calibri"/>
          <w:b/>
          <w:color w:val="2D3748"/>
          <w:sz w:val="22"/>
        </w:rPr>
        <w:t>~119,5 Juta</w:t>
      </w:r>
      <w:r>
        <w:rPr>
          <w:rFonts w:ascii="Calibri" w:hAnsi="Calibri"/>
          <w:color w:val="2D3748"/>
          <w:sz w:val="22"/>
        </w:rPr>
        <w:t xml:space="preserve"> (86.5% dari seluruh model).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Global Average Pooling (GAP) ResNet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GAP merata-ratakan seluruh area spasial </w:t>
      </w:r>
      <m:oMath xmlns:mml="http://www.w3.org/1998/Math/MathML">
        <m:r>
          <m:t>7×7</m:t>
        </m:r>
      </m:oMath>
      <w:r>
        <w:rPr>
          <w:rFonts w:ascii="Calibri" w:hAnsi="Calibri"/>
          <w:color w:val="2D3748"/>
          <w:sz w:val="22"/>
        </w:rPr>
        <w:t xml:space="preserve"> menjadi satu nilai skalar per kanal, sehingga keluaran tensor menjadi </w:t>
      </w:r>
      <m:oMath xmlns:mml="http://www.w3.org/1998/Math/MathML">
        <m:r>
          <m:t>1×1×512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512</m:t>
        </m:r>
      </m:oMath>
      <w:r>
        <w:rPr>
          <w:rFonts w:ascii="Calibri" w:hAnsi="Calibri"/>
          <w:color w:val="2D3748"/>
          <w:sz w:val="22"/>
        </w:rPr>
        <w:t xml:space="preserve"> unit).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Lapisan klasifikasi akhir (</w:t>
      </w:r>
      <m:oMath xmlns:mml="http://www.w3.org/1998/Math/MathML">
        <m:r>
          <m:t>512→1000</m:t>
        </m:r>
      </m:oMath>
      <w:r>
        <w:rPr>
          <w:rFonts w:ascii="Calibri" w:hAnsi="Calibri"/>
          <w:color w:val="2D3748"/>
          <w:sz w:val="22"/>
        </w:rPr>
        <w:t xml:space="preserve"> kelas): </w:t>
      </w:r>
      <m:oMath xmlns:mml="http://www.w3.org/1998/Math/MathML">
        <m:r>
          <m:rPr>
            <m:nor/>
          </m:rPr>
          <m:t>Bobot</m:t>
        </m:r>
        <m:r>
          <m:t>=512×1000=512.000</m:t>
        </m:r>
      </m:oMath>
      <w:r>
        <w:rPr>
          <w:rFonts w:ascii="Calibri" w:hAnsi="Calibri"/>
          <w:color w:val="2D3748"/>
          <w:sz w:val="22"/>
        </w:rPr>
        <w:t xml:space="preserve"> parameter.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GAP memangkas parameter lebih dari </w:t>
      </w:r>
      <w:r>
        <w:rPr>
          <w:rFonts w:ascii="Calibri" w:hAnsi="Calibri"/>
          <w:b/>
          <w:color w:val="2D3748"/>
          <w:sz w:val="22"/>
        </w:rPr>
        <w:t>99.5%</w:t>
      </w:r>
      <w:r>
        <w:rPr>
          <w:rFonts w:ascii="Calibri" w:hAnsi="Calibri"/>
          <w:color w:val="2D3748"/>
          <w:sz w:val="22"/>
        </w:rPr>
        <w:t>, mengeliminasi overfitting secara radikal tanpa mengurangi representasi semantik.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(Implementasi Bottleneck Block ResNet)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br/>
              <w:t>class BottleneckBlock(nn.Module):</w:t>
              <w:br/>
              <w:t xml:space="preserve">    expansion = 4</w:t>
              <w:br/>
              <w:t xml:space="preserve">    def __init__(self, in_channels, base_channels, stride=1):</w:t>
              <w:br/>
              <w:t xml:space="preserve">        super().__init__()</w:t>
              <w:br/>
              <w:t xml:space="preserve">        out_channels = base_channels * self.expansion</w:t>
              <w:br/>
              <w:t xml:space="preserve">        # 1x1 Conv (Kompresi Dimensi)</w:t>
              <w:br/>
              <w:t xml:space="preserve">        self.conv1 = nn.Conv2d(in_channels, base_channels, kernel_size=1, bias=False)</w:t>
              <w:br/>
              <w:t xml:space="preserve">        self.bn1 = nn.BatchNorm2d(base_channels)</w:t>
              <w:br/>
              <w:t xml:space="preserve">        # 3x3 Conv (Ekstraksi Spasial)</w:t>
              <w:br/>
              <w:t xml:space="preserve">        self.conv2 = nn.Conv2d(base_channels, base_channels, kernel_size=3, stride=stride, padding=1, bias=False)</w:t>
              <w:br/>
              <w:t xml:space="preserve">        self.bn2 = nn.BatchNorm2d(base_channels)</w:t>
              <w:br/>
              <w:t xml:space="preserve">        # 1x1 Conv (Ekspansi Dimensi 4x)</w:t>
              <w:br/>
              <w:t xml:space="preserve">        self.conv3 = nn.Conv2d(base_channels, out_channels, kernel_size=1, bias=False)</w:t>
              <w:br/>
              <w:t xml:space="preserve">        self.bn3 = nn.BatchNorm2d(out_channels)</w:t>
              <w:br/>
              <w:t xml:space="preserve">        self.relu = nn.ReLU(inplace=True)</w:t>
              <w:br/>
              <w:t xml:space="preserve">        </w:t>
              <w:br/>
              <w:t xml:space="preserve">        # Shortcut Projection jika dimensi berubah</w:t>
              <w:br/>
              <w:t xml:space="preserve">        self.shortcut = nn.Sequential()</w:t>
              <w:br/>
              <w:t xml:space="preserve">        if stride != 1 or in_channels != out_channels:</w:t>
              <w:br/>
              <w:t xml:space="preserve">            self.shortcut = nn.Sequential(</w:t>
              <w:br/>
              <w:t xml:space="preserve">                nn.Conv2d(in_channels, out_channels, kernel_size=1, stride=stride, bias=False),</w:t>
              <w:br/>
              <w:t xml:space="preserve">                nn.BatchNorm2d(out_channels)</w:t>
              <w:br/>
              <w:t xml:space="preserve">            )</w:t>
              <w:br/>
              <w:t xml:space="preserve">            </w:t>
              <w:br/>
              <w:t xml:space="preserve">    def forward(self, x):</w:t>
              <w:br/>
              <w:t xml:space="preserve">        identity = self.shortcut(x)</w:t>
              <w:br/>
              <w:t xml:space="preserve">        out = self.relu(self.bn1(self.conv1(x)))</w:t>
              <w:br/>
              <w:t xml:space="preserve">        out = self.relu(self.bn2(self.conv2(out)))</w:t>
              <w:br/>
              <w:t xml:space="preserve">        out = self.bn3(self.conv3(out))</w:t>
              <w:br/>
              <w:t xml:space="preserve">        out += identity</w:t>
              <w:br/>
              <w:t xml:space="preserve">        return self.relu(out)</w:t>
              <w:br/>
              <w:br/>
              <w:t># Pengujian tensor (N, 256, 14, 14)</w:t>
              <w:br/>
              <w:t>block = BottleneckBlock(in_channels=256, base_channels=64, stride=1)</w:t>
              <w:br/>
              <w:t>x = torch.randn(2, 256, 14, 14)</w:t>
              <w:br/>
              <w:t>y = block(x)</w:t>
              <w:br/>
              <w:t>print(f"Bentuk Tensor Input: {x.shape} -&gt; Output: {y.shape}") # (2, 256, 14, 14)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Implementasi Arsitektur (35%)</w:t>
      </w:r>
      <w:r>
        <w:rPr>
          <w:rFonts w:ascii="Calibri" w:hAnsi="Calibri"/>
          <w:color w:val="2D3748"/>
          <w:sz w:val="22"/>
        </w:rPr>
        <w:t>: Ketepatan perakitan modul residual dan keselarasan dimensi tensor pada percabangan shortcut.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Teoretis Komparatif (25%)</w:t>
      </w:r>
      <w:r>
        <w:rPr>
          <w:rFonts w:ascii="Calibri" w:hAnsi="Calibri"/>
          <w:color w:val="2D3748"/>
          <w:sz w:val="22"/>
        </w:rPr>
        <w:t>: Kedalaman penjelasan degradasi gradien dan eliminasi bottleneck parameter via GAP.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Performa Model (25%)</w:t>
      </w:r>
      <w:r>
        <w:rPr>
          <w:rFonts w:ascii="Calibri" w:hAnsi="Calibri"/>
          <w:color w:val="2D3748"/>
          <w:sz w:val="22"/>
        </w:rPr>
        <w:t xml:space="preserve">: Keberhasilan konvergensi pada dataset multi-kelas TBS sawit dengan akurasi </w:t>
      </w:r>
      <m:oMath xmlns:mml="http://www.w3.org/1998/Math/MathML">
        <m:r>
          <m:t>≥90%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Kerapian Kode &amp; Dokumentasi (15%)</w:t>
      </w:r>
      <w:r>
        <w:rPr>
          <w:rFonts w:ascii="Calibri" w:hAnsi="Calibri"/>
          <w:color w:val="2D3748"/>
          <w:sz w:val="22"/>
        </w:rPr>
        <w:t>: Dokumentasi rapi dan struktur modular berbasis PyTorch standar industri.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