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Unified Ops AX — Product Evaluation and Improvement Roadmap</w:t>
      </w:r>
    </w:p>
    <w:p>
      <w:pPr>
        <w:pStyle w:val="MdParagraph"/>
      </w:pPr>
      <w:r>
        <w:rPr>
          <w:rStyle w:val="MdStrong"/>
          <w:b/>
          <w:bCs/>
        </w:rPr>
        <w:t xml:space="preserve">Review scope.</w:t>
      </w:r>
      <w:r>
        <w:t xml:space="preserve"> I evaluated the Devpost submission, the GitHub repository, and the live Streamlit deployment. The review focused on product clarity, user experience, credibility of the demo, implementation quality, and readiness for real operational use.</w:t>
      </w:r>
    </w:p>
    <w:p>
      <w:pPr>
        <w:pStyle w:val="MdSpace"/>
        <w:spacing w:before="0" w:after="60"/>
      </w:pPr>
    </w:p>
    <w:p>
      <w:pPr>
        <w:pStyle w:val="Heading2"/>
        <w:pStyle w:val="MdHeading2"/>
      </w:pPr>
      <w:r>
        <w:t xml:space="preserve">Executive assessment</w:t>
      </w:r>
    </w:p>
    <w:p>
      <w:pPr>
        <w:pStyle w:val="MdParagraph"/>
      </w:pPr>
      <w:r>
        <w:t xml:space="preserve">Unified Ops AX has a strong hackathon concept: it connects </w:t>
      </w:r>
      <w:r>
        <w:rPr>
          <w:rStyle w:val="MdStrong"/>
          <w:b/>
          <w:bCs/>
        </w:rPr>
        <w:t xml:space="preserve">agent telemetry, anomaly detection, security controls, and remediation</w:t>
      </w:r>
      <w:r>
        <w:t xml:space="preserve"> into a closed feedback loop. That is a more differentiated story than a generic chatbot or dashboard. The repository also shows meaningful breadth: asynchronous workers, a Splunk telemetry emitter, an NL-to-SPL tool, DLP handling, remediation policies, Kubernetes scaling concepts, and tests.</w:t>
      </w:r>
      <w:hyperlink w:history="1" r:id="rIdc7zgafc4-fawnoxgifdsy">
        <w:r>
          <w:rPr>
            <w:rStyle w:val="MdLink"/>
          </w:rPr>
          <w:t xml:space="preserve">1</w:t>
        </w:r>
      </w:hyperlink>
      <w:r>
        <w:t xml:space="preserve"> </w:t>
      </w:r>
      <w:hyperlink w:history="1" r:id="rIdza_jpfopiaqihgb2eupr3">
        <w:r>
          <w:rPr>
            <w:rStyle w:val="MdLink"/>
          </w:rPr>
          <w:t xml:space="preserve">2</w:t>
        </w:r>
      </w:hyperlink>
    </w:p>
    <w:p>
      <w:pPr>
        <w:pStyle w:val="MdSpace"/>
        <w:spacing w:before="0" w:after="60"/>
      </w:pPr>
    </w:p>
    <w:p>
      <w:pPr>
        <w:pStyle w:val="MdParagraph"/>
      </w:pPr>
      <w:r>
        <w:t xml:space="preserve">The main weakness is not lack of features; it is </w:t>
      </w:r>
      <w:r>
        <w:rPr>
          <w:rStyle w:val="MdStrong"/>
          <w:b/>
          <w:bCs/>
        </w:rPr>
        <w:t xml:space="preserve">lack of a single, trustworthy product narrative</w:t>
      </w:r>
      <w:r>
        <w:t xml:space="preserve">. The live app feels like a technical showcase composed of several simulators rather than an operational product that answers one urgent question: “What is happening to my agent fleet, what action is being taken, and can I safely approve or reverse it?” The app will become substantially stronger by reducing surface area, making demo state explicit, and proving each automated action with an auditable before/after record.</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Dimension</w:t>
            </w:r>
          </w:p>
        </w:tc>
        <w:tc>
          <w:tcPr>
            <w:tcMar>
              <w:top w:type="dxa" w:w="100"/>
              <w:left w:type="dxa" w:w="120"/>
              <w:bottom w:type="dxa" w:w="100"/>
              <w:right w:type="dxa" w:w="120"/>
            </w:tcMar>
            <w:vAlign w:val="center"/>
          </w:tcPr>
          <w:p>
            <w:pPr>
              <w:pStyle w:val="MdTableHeader"/>
              <w:jc w:val="right"/>
            </w:pPr>
            <w:r>
              <w:t xml:space="preserve">Assessment</w:t>
            </w:r>
          </w:p>
        </w:tc>
        <w:tc>
          <w:tcPr>
            <w:tcBorders>
              <w:right w:val="none"/>
            </w:tcBorders>
            <w:tcMar>
              <w:top w:type="dxa" w:w="100"/>
              <w:left w:type="dxa" w:w="120"/>
              <w:bottom w:type="dxa" w:w="100"/>
              <w:right w:type="dxa" w:w="120"/>
            </w:tcMar>
            <w:vAlign w:val="center"/>
          </w:tcPr>
          <w:p>
            <w:pPr>
              <w:pStyle w:val="MdTableHeader"/>
            </w:pPr>
            <w:r>
              <w:t xml:space="preserve">Why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Problem significance</w:t>
            </w:r>
          </w:p>
        </w:tc>
        <w:tc>
          <w:tcPr>
            <w:tcMar>
              <w:top w:type="dxa" w:w="80"/>
              <w:left w:type="dxa" w:w="120"/>
              <w:bottom w:type="dxa" w:w="80"/>
              <w:right w:type="dxa" w:w="120"/>
            </w:tcMar>
            <w:vAlign w:val="center"/>
          </w:tcPr>
          <w:p>
            <w:pPr>
              <w:pStyle w:val="MdTableCell"/>
              <w:jc w:val="right"/>
            </w:pPr>
            <w:r>
              <w:t xml:space="preserve">Strong</w:t>
            </w:r>
          </w:p>
        </w:tc>
        <w:tc>
          <w:tcPr>
            <w:tcBorders>
              <w:right w:val="none"/>
            </w:tcBorders>
            <w:tcMar>
              <w:top w:type="dxa" w:w="80"/>
              <w:left w:type="dxa" w:w="120"/>
              <w:bottom w:type="dxa" w:w="80"/>
              <w:right w:type="dxa" w:w="120"/>
            </w:tcMar>
            <w:vAlign w:val="center"/>
          </w:tcPr>
          <w:p>
            <w:pPr>
              <w:pStyle w:val="MdTableCell"/>
            </w:pPr>
            <w:r>
              <w:t xml:space="preserve">Agent cost, latency, reliability, and data leakage are credible operational concerns.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Technical ambition</w:t>
            </w:r>
          </w:p>
        </w:tc>
        <w:tc>
          <w:tcPr>
            <w:tcMar>
              <w:top w:type="dxa" w:w="80"/>
              <w:left w:type="dxa" w:w="120"/>
              <w:bottom w:type="dxa" w:w="80"/>
              <w:right w:type="dxa" w:w="120"/>
            </w:tcMar>
            <w:vAlign w:val="center"/>
          </w:tcPr>
          <w:p>
            <w:pPr>
              <w:pStyle w:val="MdTableCell"/>
              <w:jc w:val="right"/>
            </w:pPr>
            <w:r>
              <w:t xml:space="preserve">Strong</w:t>
            </w:r>
          </w:p>
        </w:tc>
        <w:tc>
          <w:tcPr>
            <w:tcBorders>
              <w:right w:val="none"/>
            </w:tcBorders>
            <w:tcMar>
              <w:top w:type="dxa" w:w="80"/>
              <w:left w:type="dxa" w:w="120"/>
              <w:bottom w:type="dxa" w:w="80"/>
              <w:right w:type="dxa" w:w="120"/>
            </w:tcMar>
            <w:vAlign w:val="center"/>
          </w:tcPr>
          <w:p>
            <w:pPr>
              <w:pStyle w:val="MdTableCell"/>
            </w:pPr>
            <w:r>
              <w:t xml:space="preserve">The closed-loop Splunk/agent/remediation architecture is compelling.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Product focus</w:t>
            </w:r>
          </w:p>
        </w:tc>
        <w:tc>
          <w:tcPr>
            <w:tcMar>
              <w:top w:type="dxa" w:w="80"/>
              <w:left w:type="dxa" w:w="120"/>
              <w:bottom w:type="dxa" w:w="80"/>
              <w:right w:type="dxa" w:w="120"/>
            </w:tcMar>
            <w:vAlign w:val="center"/>
          </w:tcPr>
          <w:p>
            <w:pPr>
              <w:pStyle w:val="MdTableCell"/>
              <w:jc w:val="right"/>
            </w:pPr>
            <w:r>
              <w:t xml:space="preserve">Needs work</w:t>
            </w:r>
          </w:p>
        </w:tc>
        <w:tc>
          <w:tcPr>
            <w:tcBorders>
              <w:right w:val="none"/>
            </w:tcBorders>
            <w:tcMar>
              <w:top w:type="dxa" w:w="80"/>
              <w:left w:type="dxa" w:w="120"/>
              <w:bottom w:type="dxa" w:w="80"/>
              <w:right w:type="dxa" w:w="120"/>
            </w:tcMar>
            <w:vAlign w:val="center"/>
          </w:tcPr>
          <w:p>
            <w:pPr>
              <w:pStyle w:val="MdTableCell"/>
            </w:pPr>
            <w:r>
              <w:t xml:space="preserve">The experience spans map, queues, HPA, DLP, metrics, and alternate demos without a clear primary workflow.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Demo credibility</w:t>
            </w:r>
          </w:p>
        </w:tc>
        <w:tc>
          <w:tcPr>
            <w:tcMar>
              <w:top w:type="dxa" w:w="80"/>
              <w:left w:type="dxa" w:w="120"/>
              <w:bottom w:type="dxa" w:w="80"/>
              <w:right w:type="dxa" w:w="120"/>
            </w:tcMar>
            <w:vAlign w:val="center"/>
          </w:tcPr>
          <w:p>
            <w:pPr>
              <w:pStyle w:val="MdTableCell"/>
              <w:jc w:val="right"/>
            </w:pPr>
            <w:r>
              <w:t xml:space="preserve">Mixed</w:t>
            </w:r>
          </w:p>
        </w:tc>
        <w:tc>
          <w:tcPr>
            <w:tcBorders>
              <w:right w:val="none"/>
            </w:tcBorders>
            <w:tcMar>
              <w:top w:type="dxa" w:w="80"/>
              <w:left w:type="dxa" w:w="120"/>
              <w:bottom w:type="dxa" w:w="80"/>
              <w:right w:type="dxa" w:w="120"/>
            </w:tcMar>
            <w:vAlign w:val="center"/>
          </w:tcPr>
          <w:p>
            <w:pPr>
              <w:pStyle w:val="MdTableCell"/>
            </w:pPr>
            <w:r>
              <w:t xml:space="preserve">Several behaviors are real local simulations or descriptive placeholders, but the UI sometimes uses production-sounding language.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UX quality</w:t>
            </w:r>
          </w:p>
        </w:tc>
        <w:tc>
          <w:tcPr>
            <w:tcMar>
              <w:top w:type="dxa" w:w="80"/>
              <w:left w:type="dxa" w:w="120"/>
              <w:bottom w:type="dxa" w:w="80"/>
              <w:right w:type="dxa" w:w="120"/>
            </w:tcMar>
            <w:vAlign w:val="center"/>
          </w:tcPr>
          <w:p>
            <w:pPr>
              <w:pStyle w:val="MdTableCell"/>
              <w:jc w:val="right"/>
            </w:pPr>
            <w:r>
              <w:t xml:space="preserve">Moderate</w:t>
            </w:r>
          </w:p>
        </w:tc>
        <w:tc>
          <w:tcPr>
            <w:tcBorders>
              <w:right w:val="none"/>
            </w:tcBorders>
            <w:tcMar>
              <w:top w:type="dxa" w:w="80"/>
              <w:left w:type="dxa" w:w="120"/>
              <w:bottom w:type="dxa" w:w="80"/>
              <w:right w:type="dxa" w:w="120"/>
            </w:tcMar>
            <w:vAlign w:val="center"/>
          </w:tcPr>
          <w:p>
            <w:pPr>
              <w:pStyle w:val="MdTableCell"/>
            </w:pPr>
            <w:r>
              <w:t xml:space="preserve">Dark visual style and clear sections are good; discovery, context, history, and action feedback are weak.</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Production readiness</w:t>
            </w:r>
          </w:p>
        </w:tc>
        <w:tc>
          <w:tcPr>
            <w:tcBorders>
              <w:bottom w:val="single" w:color="E1E4E8" w:sz="4"/>
            </w:tcBorders>
            <w:tcMar>
              <w:top w:type="dxa" w:w="80"/>
              <w:left w:type="dxa" w:w="120"/>
              <w:bottom w:type="dxa" w:w="80"/>
              <w:right w:type="dxa" w:w="120"/>
            </w:tcMar>
            <w:vAlign w:val="center"/>
          </w:tcPr>
          <w:p>
            <w:pPr>
              <w:pStyle w:val="MdTableCell"/>
              <w:jc w:val="right"/>
            </w:pPr>
            <w:r>
              <w:t xml:space="preserve">Early prototype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Security, persistence, idempotency, authorization, integration depth, and operational safeguards need to be demonstrated.</w:t>
            </w:r>
          </w:p>
        </w:tc>
      </w:tr>
    </w:tbl>
    <w:p>
      <w:pPr>
        <w:pStyle w:val="Heading2"/>
        <w:pStyle w:val="MdHeading2"/>
      </w:pPr>
      <w:r>
        <w:t xml:space="preserve">What is working well</w:t>
      </w:r>
    </w:p>
    <w:p>
      <w:pPr>
        <w:pStyle w:val="MdParagraph"/>
      </w:pPr>
      <w:r>
        <w:t xml:space="preserve">The strongest product asset is the </w:t>
      </w:r>
      <w:r>
        <w:rPr>
          <w:rStyle w:val="MdStrong"/>
          <w:b/>
          <w:bCs/>
        </w:rPr>
        <w:t xml:space="preserve">closed-loop control model</w:t>
      </w:r>
      <w:r>
        <w:t xml:space="preserve">. The repository describes a flow from agent events to Splunk HEC, anomaly alerts, webhook handling, policy application, and telemetry about the remediation itself.</w:t>
      </w:r>
      <w:hyperlink w:history="1" r:id="rIdiljg2xmxfzzypfhbwzxgb">
        <w:r>
          <w:rPr>
            <w:rStyle w:val="MdLink"/>
          </w:rPr>
          <w:t xml:space="preserve">1</w:t>
        </w:r>
      </w:hyperlink>
      <w:r>
        <w:t xml:space="preserve"> That creates a coherent systems story and gives the project a credible reason to exist beyond visualization.</w:t>
      </w:r>
    </w:p>
    <w:p>
      <w:pPr>
        <w:pStyle w:val="MdSpace"/>
        <w:spacing w:before="0" w:after="60"/>
      </w:pPr>
    </w:p>
    <w:p>
      <w:pPr>
        <w:pStyle w:val="MdParagraph"/>
      </w:pPr>
      <w:r>
        <w:t xml:space="preserve">The DLP playground is currently the best user-facing interaction. The live app accepts a payload and visibly identifies multiple rule types, including SSN, Korean resident registration number, API key, and credit card patterns, then displays sensitivity, a hash, matched rules, and masked output. This gives a reviewer a clear input–processing–output demonstration in seconds.</w:t>
      </w:r>
    </w:p>
    <w:p>
      <w:pPr>
        <w:pStyle w:val="MdSpace"/>
        <w:spacing w:before="0" w:after="60"/>
      </w:pPr>
    </w:p>
    <w:p>
      <w:pPr>
        <w:pStyle w:val="MdParagraph"/>
      </w:pPr>
      <w:r>
        <w:t xml:space="preserve">The live application also has a solid visual foundation. The dark control-center theme, KPI cards, five functional views, and PyDeck map create an enterprise-operations feel. The Async Engine screen successfully accepted a batch job and updated processed-task state, while the K8s page explicitly labels the HPA behavior as simulated. These are useful foundations for a stronger demo.</w:t>
      </w:r>
      <w:hyperlink w:history="1" r:id="rIdzgrlr0sryeyeaijm9bksy">
        <w:r>
          <w:rPr>
            <w:rStyle w:val="MdLink"/>
          </w:rPr>
          <w:t xml:space="preserve">2</w:t>
        </w:r>
      </w:hyperlink>
    </w:p>
    <w:p>
      <w:pPr>
        <w:pStyle w:val="MdSpace"/>
        <w:spacing w:before="0" w:after="60"/>
      </w:pPr>
    </w:p>
    <w:p>
      <w:pPr>
        <w:pStyle w:val="Heading2"/>
        <w:pStyle w:val="MdHeading2"/>
      </w:pPr>
      <w:r>
        <w:t xml:space="preserve">Highest-priority improvements</w:t>
      </w:r>
    </w:p>
    <w:p>
      <w:pPr>
        <w:pStyle w:val="Heading3"/>
        <w:pStyle w:val="MdHeading3"/>
      </w:pPr>
      <w:r>
        <w:t xml:space="preserve">1. Make one end-to-end incident workflow the product’s center</w:t>
      </w:r>
    </w:p>
    <w:p>
      <w:pPr>
        <w:pStyle w:val="MdParagraph"/>
      </w:pPr>
      <w:r>
        <w:t xml:space="preserve">At present, the navigation presents five peer views: map, workers, HPA, DLP, and telemetry. A reviewer must assemble the relationship between them. Replace the current first screen with an </w:t>
      </w:r>
      <w:r>
        <w:rPr>
          <w:rStyle w:val="MdStrong"/>
          <w:b/>
          <w:bCs/>
        </w:rPr>
        <w:t xml:space="preserve">Incident Command Center</w:t>
      </w:r>
      <w:r>
        <w:t xml:space="preserve"> containing four elements: active incidents, fleet health, recommended actions, and the latest remediation timeline.</w:t>
      </w:r>
    </w:p>
    <w:p>
      <w:pPr>
        <w:pStyle w:val="MdSpace"/>
        <w:spacing w:before="0" w:after="60"/>
      </w:pPr>
    </w:p>
    <w:p>
      <w:pPr>
        <w:pStyle w:val="MdParagraph"/>
      </w:pPr>
      <w:r>
        <w:t xml:space="preserve">The ideal demo should be a single scenario: a cost or latency anomaly is detected; the system shows the affected model, region, and time window; it proposes a policy; the user approves or observes the policy execute; the system displays the resulting routing change, cooldown, and measured impact. The map, DLP playground, and raw metrics should become supporting drill-downs rather than the primary navigation.</w:t>
      </w:r>
    </w:p>
    <w:p>
      <w:pPr>
        <w:pStyle w:val="MdSpace"/>
        <w:spacing w:before="0" w:after="60"/>
      </w:pPr>
    </w:p>
    <w:p>
      <w:pPr>
        <w:pStyle w:val="Heading3"/>
        <w:pStyle w:val="MdHeading3"/>
      </w:pPr>
      <w:r>
        <w:t xml:space="preserve">2. Clearly separate real, simulated, and unavailable capabilities</w:t>
      </w:r>
    </w:p>
    <w:p>
      <w:pPr>
        <w:pStyle w:val="MdParagraph"/>
      </w:pPr>
      <w:r>
        <w:t xml:space="preserve">This is the most important credibility fix. The repository’s remediation code returns descriptive results for several actions. For example, caching, token reduction, circuit breaking, and DLP strictness are represented as status strings, while notification methods log messages rather than delivering to Slack, PagerDuty, or email.</w:t>
      </w:r>
      <w:hyperlink w:history="1" r:id="rIdjnqvczkvd5sk6zolw5ain">
        <w:r>
          <w:rPr>
            <w:rStyle w:val="MdLink"/>
          </w:rPr>
          <w:t xml:space="preserve">3</w:t>
        </w:r>
      </w:hyperlink>
      <w:r>
        <w:t xml:space="preserve"> The K8s screen is explicitly simulated, which is good, but its button still says “Apply kubectl scale deployment,” a phrase that suggests a real cluster mutation.</w:t>
      </w:r>
    </w:p>
    <w:p>
      <w:pPr>
        <w:pStyle w:val="MdSpace"/>
        <w:spacing w:before="0" w:after="60"/>
      </w:pPr>
    </w:p>
    <w:p>
      <w:pPr>
        <w:pStyle w:val="MdParagraph"/>
      </w:pPr>
      <w:r>
        <w:t xml:space="preserve">Add a persistent environment badge such as </w:t>
      </w:r>
      <w:r>
        <w:rPr>
          <w:rStyle w:val="MdStrong"/>
          <w:b/>
          <w:bCs/>
        </w:rPr>
        <w:t xml:space="preserve">DEMO / SIMULATED</w:t>
      </w:r>
      <w:r>
        <w:t xml:space="preserve">, </w:t>
      </w:r>
      <w:r>
        <w:rPr>
          <w:rStyle w:val="MdStrong"/>
          <w:b/>
          <w:bCs/>
        </w:rPr>
        <w:t xml:space="preserve">CONNECTED</w:t>
      </w:r>
      <w:r>
        <w:t xml:space="preserve">, or </w:t>
      </w:r>
      <w:r>
        <w:rPr>
          <w:rStyle w:val="MdStrong"/>
          <w:b/>
          <w:bCs/>
        </w:rPr>
        <w:t xml:space="preserve">DEGRADED</w:t>
      </w:r>
      <w:r>
        <w:t xml:space="preserve">, and attach a capability status to every action. Use labels like “Simulate scale,” “Preview routing change,” and “Record remediation event” when no external system is connected. If a real integration exists, show the target, authentication status, last successful call, and response ID. This change will improve reviewer trust more than adding another feature.</w:t>
      </w:r>
    </w:p>
    <w:p>
      <w:pPr>
        <w:pStyle w:val="MdSpace"/>
        <w:spacing w:before="0" w:after="60"/>
      </w:pPr>
    </w:p>
    <w:p>
      <w:pPr>
        <w:pStyle w:val="Heading3"/>
        <w:pStyle w:val="MdHeading3"/>
      </w:pPr>
      <w:r>
        <w:t xml:space="preserve">3. Turn remediation into an auditable control loop</w:t>
      </w:r>
    </w:p>
    <w:p>
      <w:pPr>
        <w:pStyle w:val="MdParagraph"/>
      </w:pPr>
      <w:r>
        <w:t xml:space="preserve">The current remediation output should be upgraded from a success message or JSON blob to an </w:t>
      </w:r>
      <w:r>
        <w:rPr>
          <w:rStyle w:val="MdStrong"/>
          <w:b/>
          <w:bCs/>
        </w:rPr>
        <w:t xml:space="preserve">action record</w:t>
      </w:r>
      <w:r>
        <w:t xml:space="preserve"> with: incident ID, trigger, observed value, threshold, affected scope, policy version, actions proposed, actions applied, skipped actions, operator identity, start/end timestamps, cooldown expiry, and rollback status.</w:t>
      </w:r>
    </w:p>
    <w:p>
      <w:pPr>
        <w:pStyle w:val="MdSpace"/>
        <w:spacing w:before="0" w:after="60"/>
      </w:pPr>
    </w:p>
    <w:p>
      <w:pPr>
        <w:pStyle w:val="MdParagraph"/>
      </w:pPr>
      <w:r>
        <w:t xml:space="preserve">Every automated action should have a lifecycle: </w:t>
      </w:r>
      <w:r>
        <w:rPr>
          <w:rStyle w:val="MdStrong"/>
          <w:b/>
          <w:bCs/>
        </w:rPr>
        <w:t xml:space="preserve">detected → proposed → approved or auto-approved → executing → verified → rolled back or expired</w:t>
      </w:r>
      <w:r>
        <w:t xml:space="preserve">. Add an approval mode for high-impact actions such as opening a circuit breaker, changing model weights, escalating DLP rules, or scaling pods. Provide a “Why this action?” explanation and a “Rollback” control where technically safe.</w:t>
      </w:r>
    </w:p>
    <w:p>
      <w:pPr>
        <w:pStyle w:val="MdSpace"/>
        <w:spacing w:before="0" w:after="60"/>
      </w:pPr>
    </w:p>
    <w:p>
      <w:pPr>
        <w:pStyle w:val="Heading3"/>
        <w:pStyle w:val="MdHeading3"/>
      </w:pPr>
      <w:r>
        <w:t xml:space="preserve">4. Replace static-looking KPIs with time, provenance, and freshness</w:t>
      </w:r>
    </w:p>
    <w:p>
      <w:pPr>
        <w:pStyle w:val="MdParagraph"/>
      </w:pPr>
      <w:r>
        <w:t xml:space="preserve">The first screen showed three monitored regions, zero throughput, two pods, and zero processed tasks. Those numbers are understandable in isolation, but they do not tell a user whether the system is idle, disconnected, newly started, or unhealthy. Add </w:t>
      </w:r>
      <w:r>
        <w:rPr>
          <w:rStyle w:val="MdStrong"/>
          <w:b/>
          <w:bCs/>
        </w:rPr>
        <w:t xml:space="preserve">last updated</w:t>
      </w:r>
      <w:r>
        <w:t xml:space="preserve">, </w:t>
      </w:r>
      <w:r>
        <w:rPr>
          <w:rStyle w:val="MdStrong"/>
          <w:b/>
          <w:bCs/>
        </w:rPr>
        <w:t xml:space="preserve">data source</w:t>
      </w:r>
      <w:r>
        <w:t xml:space="preserve">, </w:t>
      </w:r>
      <w:r>
        <w:rPr>
          <w:rStyle w:val="MdStrong"/>
          <w:b/>
          <w:bCs/>
        </w:rPr>
        <w:t xml:space="preserve">time range</w:t>
      </w:r>
      <w:r>
        <w:t xml:space="preserve">, and </w:t>
      </w:r>
      <w:r>
        <w:rPr>
          <w:rStyle w:val="MdStrong"/>
          <w:b/>
          <w:bCs/>
        </w:rPr>
        <w:t xml:space="preserve">health interpretation</w:t>
      </w:r>
      <w:r>
        <w:t xml:space="preserve"> to each KPI. For example: “0.0 tasks/s — engine running, no jobs in the last 5 minutes.”</w:t>
      </w:r>
    </w:p>
    <w:p>
      <w:pPr>
        <w:pStyle w:val="MdSpace"/>
        <w:spacing w:before="0" w:after="60"/>
      </w:pPr>
    </w:p>
    <w:p>
      <w:pPr>
        <w:pStyle w:val="MdParagraph"/>
      </w:pPr>
      <w:r>
        <w:t xml:space="preserve">The code also contains hard-coded map nodes and fixed values such as “2,000 events” in the dashboard view.</w:t>
      </w:r>
      <w:hyperlink w:history="1" r:id="rId1s8i0muufz3vs8xudh0jm">
        <w:r>
          <w:rPr>
            <w:rStyle w:val="MdLink"/>
          </w:rPr>
          <w:t xml:space="preserve">2</w:t>
        </w:r>
      </w:hyperlink>
      <w:r>
        <w:t xml:space="preserve"> If the data is synthetic, label it as synthetic and show the generator timestamp. If the data is live, derive every KPI from the same event store and expose the query window. Do not mix live engine state with benchmark numbers without an explicit “Benchmark” label.</w:t>
      </w:r>
    </w:p>
    <w:p>
      <w:pPr>
        <w:pStyle w:val="MdSpace"/>
        <w:spacing w:before="0" w:after="60"/>
      </w:pPr>
    </w:p>
    <w:p>
      <w:pPr>
        <w:pStyle w:val="Heading3"/>
        <w:pStyle w:val="MdHeading3"/>
      </w:pPr>
      <w:r>
        <w:t xml:space="preserve">5. Unify the app identity and remove presentation noise</w:t>
      </w:r>
    </w:p>
    <w:p>
      <w:pPr>
        <w:pStyle w:val="MdParagraph"/>
      </w:pPr>
      <w:r>
        <w:t xml:space="preserve">The live Streamlit page exposes unrelated navigation entries such as Recommender, EDA Pipeline, Churn Classifier, Sales Forecast, and Sentiment Analyzer above Unified Ops AX. The repository and README also reference multiple app names and URLs, including Unified Ops AX, MCPAgents × Splunk, and alternate Streamlit deployments.</w:t>
      </w:r>
      <w:hyperlink w:history="1" r:id="rIdgpd5wxu3abozyhkhwtuh6">
        <w:r>
          <w:rPr>
            <w:rStyle w:val="MdLink"/>
          </w:rPr>
          <w:t xml:space="preserve">1</w:t>
        </w:r>
      </w:hyperlink>
      <w:r>
        <w:t xml:space="preserve"> </w:t>
      </w:r>
      <w:hyperlink w:history="1" r:id="rIdx5aleys4ydmccvbhodne7">
        <w:r>
          <w:rPr>
            <w:rStyle w:val="MdLink"/>
          </w:rPr>
          <w:t xml:space="preserve">2</w:t>
        </w:r>
      </w:hyperlink>
    </w:p>
    <w:p>
      <w:pPr>
        <w:pStyle w:val="MdSpace"/>
        <w:spacing w:before="0" w:after="60"/>
      </w:pPr>
    </w:p>
    <w:p>
      <w:pPr>
        <w:pStyle w:val="MdParagraph"/>
      </w:pPr>
      <w:r>
        <w:t xml:space="preserve">Create one canonical product name, one canonical URL, one entry point, and one README command. Remove unrelated app links from the deployed presentation. Use a concise subtitle that states the value proposition rather than the implementation: </w:t>
      </w:r>
      <w:r>
        <w:rPr>
          <w:rStyle w:val="MdStrong"/>
          <w:b/>
          <w:bCs/>
        </w:rPr>
        <w:t xml:space="preserve">“Detect agent-fleet incidents and safely optimize cost, latency, and data protection.”</w:t>
      </w:r>
    </w:p>
    <w:p>
      <w:pPr>
        <w:pStyle w:val="MdSpace"/>
        <w:spacing w:before="0" w:after="60"/>
      </w:pPr>
    </w:p>
    <w:p>
      <w:pPr>
        <w:pStyle w:val="Heading2"/>
        <w:pStyle w:val="MdHeading2"/>
      </w:pPr>
      <w:r>
        <w:t xml:space="preserve">Technical and architectural recommendations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Priority</w:t>
            </w:r>
          </w:p>
        </w:tc>
        <w:tc>
          <w:tcPr>
            <w:tcMar>
              <w:top w:type="dxa" w:w="100"/>
              <w:left w:type="dxa" w:w="120"/>
              <w:bottom w:type="dxa" w:w="100"/>
              <w:right w:type="dxa" w:w="120"/>
            </w:tcMar>
            <w:vAlign w:val="center"/>
          </w:tcPr>
          <w:p>
            <w:pPr>
              <w:pStyle w:val="MdTableHeader"/>
            </w:pPr>
            <w:r>
              <w:t xml:space="preserve">Recommendation</w:t>
            </w:r>
          </w:p>
        </w:tc>
        <w:tc>
          <w:tcPr>
            <w:tcMar>
              <w:top w:type="dxa" w:w="100"/>
              <w:left w:type="dxa" w:w="120"/>
              <w:bottom w:type="dxa" w:w="100"/>
              <w:right w:type="dxa" w:w="120"/>
            </w:tcMar>
            <w:vAlign w:val="center"/>
          </w:tcPr>
          <w:p>
            <w:pPr>
              <w:pStyle w:val="MdTableHeader"/>
            </w:pPr>
            <w:r>
              <w:t xml:space="preserve">Benefit</w:t>
            </w:r>
          </w:p>
        </w:tc>
        <w:tc>
          <w:tcPr>
            <w:tcBorders>
              <w:right w:val="none"/>
            </w:tcBorders>
            <w:tcMar>
              <w:top w:type="dxa" w:w="100"/>
              <w:left w:type="dxa" w:w="120"/>
              <w:bottom w:type="dxa" w:w="100"/>
              <w:right w:type="dxa" w:w="120"/>
            </w:tcMar>
            <w:vAlign w:val="center"/>
          </w:tcPr>
          <w:p>
            <w:pPr>
              <w:pStyle w:val="MdTableHeader"/>
            </w:pPr>
            <w:r>
              <w:t xml:space="preserve">Suggested evidence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P0</w:t>
            </w:r>
          </w:p>
        </w:tc>
        <w:tc>
          <w:tcPr>
            <w:tcMar>
              <w:top w:type="dxa" w:w="80"/>
              <w:left w:type="dxa" w:w="120"/>
              <w:bottom w:type="dxa" w:w="80"/>
              <w:right w:type="dxa" w:w="120"/>
            </w:tcMar>
            <w:vAlign w:val="center"/>
          </w:tcPr>
          <w:p>
            <w:pPr>
              <w:pStyle w:val="MdTableCell"/>
            </w:pPr>
            <w:r>
              <w:t xml:space="preserve">Add authentication, role-based authorization, and scoped permissions to agent, alert, scaling, and policy endpoints.</w:t>
            </w:r>
          </w:p>
        </w:tc>
        <w:tc>
          <w:tcPr>
            <w:tcMar>
              <w:top w:type="dxa" w:w="80"/>
              <w:left w:type="dxa" w:w="120"/>
              <w:bottom w:type="dxa" w:w="80"/>
              <w:right w:type="dxa" w:w="120"/>
            </w:tcMar>
            <w:vAlign w:val="center"/>
          </w:tcPr>
          <w:p>
            <w:pPr>
              <w:pStyle w:val="MdTableCell"/>
            </w:pPr>
            <w:r>
              <w:t xml:space="preserve">Prevents unauthorized operational mutations.</w:t>
            </w:r>
          </w:p>
        </w:tc>
        <w:tc>
          <w:tcPr>
            <w:tcBorders>
              <w:right w:val="none"/>
            </w:tcBorders>
            <w:tcMar>
              <w:top w:type="dxa" w:w="80"/>
              <w:left w:type="dxa" w:w="120"/>
              <w:bottom w:type="dxa" w:w="80"/>
              <w:right w:type="dxa" w:w="120"/>
            </w:tcMar>
            <w:vAlign w:val="center"/>
          </w:tcPr>
          <w:p>
            <w:pPr>
              <w:pStyle w:val="MdTableCell"/>
            </w:pPr>
            <w:r>
              <w:t xml:space="preserve">Show an operator role, security role, and read-only role in the demo.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P0</w:t>
            </w:r>
          </w:p>
        </w:tc>
        <w:tc>
          <w:tcPr>
            <w:tcMar>
              <w:top w:type="dxa" w:w="80"/>
              <w:left w:type="dxa" w:w="120"/>
              <w:bottom w:type="dxa" w:w="80"/>
              <w:right w:type="dxa" w:w="120"/>
            </w:tcMar>
            <w:vAlign w:val="center"/>
          </w:tcPr>
          <w:p>
            <w:pPr>
              <w:pStyle w:val="MdTableCell"/>
            </w:pPr>
            <w:r>
              <w:t xml:space="preserve">Add webhook authentication, timestamp validation, replay protection, idempotency keys, and structured audit logs.</w:t>
            </w:r>
          </w:p>
        </w:tc>
        <w:tc>
          <w:tcPr>
            <w:tcMar>
              <w:top w:type="dxa" w:w="80"/>
              <w:left w:type="dxa" w:w="120"/>
              <w:bottom w:type="dxa" w:w="80"/>
              <w:right w:type="dxa" w:w="120"/>
            </w:tcMar>
            <w:vAlign w:val="center"/>
          </w:tcPr>
          <w:p>
            <w:pPr>
              <w:pStyle w:val="MdTableCell"/>
            </w:pPr>
            <w:r>
              <w:t xml:space="preserve">Makes Splunk-triggered remediation safer.</w:t>
            </w:r>
          </w:p>
        </w:tc>
        <w:tc>
          <w:tcPr>
            <w:tcBorders>
              <w:right w:val="none"/>
            </w:tcBorders>
            <w:tcMar>
              <w:top w:type="dxa" w:w="80"/>
              <w:left w:type="dxa" w:w="120"/>
              <w:bottom w:type="dxa" w:w="80"/>
              <w:right w:type="dxa" w:w="120"/>
            </w:tcMar>
            <w:vAlign w:val="center"/>
          </w:tcPr>
          <w:p>
            <w:pPr>
              <w:pStyle w:val="MdTableCell"/>
            </w:pPr>
            <w:r>
              <w:t xml:space="preserve">Include rejected replay and duplicate-alert tests.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P0</w:t>
            </w:r>
          </w:p>
        </w:tc>
        <w:tc>
          <w:tcPr>
            <w:tcMar>
              <w:top w:type="dxa" w:w="80"/>
              <w:left w:type="dxa" w:w="120"/>
              <w:bottom w:type="dxa" w:w="80"/>
              <w:right w:type="dxa" w:w="120"/>
            </w:tcMar>
            <w:vAlign w:val="center"/>
          </w:tcPr>
          <w:p>
            <w:pPr>
              <w:pStyle w:val="MdTableCell"/>
            </w:pPr>
            <w:r>
              <w:t xml:space="preserve">Replace daemon-thread cooldown restoration with a durable scheduler or state machine.</w:t>
            </w:r>
          </w:p>
        </w:tc>
        <w:tc>
          <w:tcPr>
            <w:tcMar>
              <w:top w:type="dxa" w:w="80"/>
              <w:left w:type="dxa" w:w="120"/>
              <w:bottom w:type="dxa" w:w="80"/>
              <w:right w:type="dxa" w:w="120"/>
            </w:tcMar>
            <w:vAlign w:val="center"/>
          </w:tcPr>
          <w:p>
            <w:pPr>
              <w:pStyle w:val="MdTableCell"/>
            </w:pPr>
            <w:r>
              <w:t xml:space="preserve">Prevents lost rollback after process restart and avoids race conditions.</w:t>
            </w:r>
          </w:p>
        </w:tc>
        <w:tc>
          <w:tcPr>
            <w:tcBorders>
              <w:right w:val="none"/>
            </w:tcBorders>
            <w:tcMar>
              <w:top w:type="dxa" w:w="80"/>
              <w:left w:type="dxa" w:w="120"/>
              <w:bottom w:type="dxa" w:w="80"/>
              <w:right w:type="dxa" w:w="120"/>
            </w:tcMar>
            <w:vAlign w:val="center"/>
          </w:tcPr>
          <w:p>
            <w:pPr>
              <w:pStyle w:val="MdTableCell"/>
            </w:pPr>
            <w:r>
              <w:t xml:space="preserve">Test restart during active cooldown and concurrent anomalies.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P0</w:t>
            </w:r>
          </w:p>
        </w:tc>
        <w:tc>
          <w:tcPr>
            <w:tcMar>
              <w:top w:type="dxa" w:w="80"/>
              <w:left w:type="dxa" w:w="120"/>
              <w:bottom w:type="dxa" w:w="80"/>
              <w:right w:type="dxa" w:w="120"/>
            </w:tcMar>
            <w:vAlign w:val="center"/>
          </w:tcPr>
          <w:p>
            <w:pPr>
              <w:pStyle w:val="MdTableCell"/>
            </w:pPr>
            <w:r>
              <w:t xml:space="preserve">Make actions actually mutate integrations or mark them explicitly as simulation.</w:t>
            </w:r>
          </w:p>
        </w:tc>
        <w:tc>
          <w:tcPr>
            <w:tcMar>
              <w:top w:type="dxa" w:w="80"/>
              <w:left w:type="dxa" w:w="120"/>
              <w:bottom w:type="dxa" w:w="80"/>
              <w:right w:type="dxa" w:w="120"/>
            </w:tcMar>
            <w:vAlign w:val="center"/>
          </w:tcPr>
          <w:p>
            <w:pPr>
              <w:pStyle w:val="MdTableCell"/>
            </w:pPr>
            <w:r>
              <w:t xml:space="preserve">Aligns claims with behavior.</w:t>
            </w:r>
          </w:p>
        </w:tc>
        <w:tc>
          <w:tcPr>
            <w:tcBorders>
              <w:right w:val="none"/>
            </w:tcBorders>
            <w:tcMar>
              <w:top w:type="dxa" w:w="80"/>
              <w:left w:type="dxa" w:w="120"/>
              <w:bottom w:type="dxa" w:w="80"/>
              <w:right w:type="dxa" w:w="120"/>
            </w:tcMar>
            <w:vAlign w:val="center"/>
          </w:tcPr>
          <w:p>
            <w:pPr>
              <w:pStyle w:val="MdTableCell"/>
            </w:pPr>
            <w:r>
              <w:t xml:space="preserve">Provide integration adapters with dry-run and live modes.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P1</w:t>
            </w:r>
          </w:p>
        </w:tc>
        <w:tc>
          <w:tcPr>
            <w:tcMar>
              <w:top w:type="dxa" w:w="80"/>
              <w:left w:type="dxa" w:w="120"/>
              <w:bottom w:type="dxa" w:w="80"/>
              <w:right w:type="dxa" w:w="120"/>
            </w:tcMar>
            <w:vAlign w:val="center"/>
          </w:tcPr>
          <w:p>
            <w:pPr>
              <w:pStyle w:val="MdTableCell"/>
            </w:pPr>
            <w:r>
              <w:t xml:space="preserve">Use one canonical application entry point and shared service layer for Streamlit, FastAPI, and CLI.</w:t>
            </w:r>
          </w:p>
        </w:tc>
        <w:tc>
          <w:tcPr>
            <w:tcMar>
              <w:top w:type="dxa" w:w="80"/>
              <w:left w:type="dxa" w:w="120"/>
              <w:bottom w:type="dxa" w:w="80"/>
              <w:right w:type="dxa" w:w="120"/>
            </w:tcMar>
            <w:vAlign w:val="center"/>
          </w:tcPr>
          <w:p>
            <w:pPr>
              <w:pStyle w:val="MdTableCell"/>
            </w:pPr>
            <w:r>
              <w:t xml:space="preserve">Reduces drift between </w:t>
            </w:r>
            <w:r>
              <w:rPr>
                <w:rStyle w:val="MdCode"/>
                <w:u w:val="single"/>
              </w:rPr>
              <w:t xml:space="preserve">streamlit_app.py</w:t>
            </w:r>
            <w:r>
              <w:t xml:space="preserve">, </w:t>
            </w:r>
            <w:r>
              <w:rPr>
                <w:rStyle w:val="MdCode"/>
                <w:u w:val="single"/>
              </w:rPr>
              <w:t xml:space="preserve">demo_app.py</w:t>
            </w:r>
            <w:r>
              <w:t xml:space="preserve">, and backend behavior.</w:t>
            </w:r>
          </w:p>
        </w:tc>
        <w:tc>
          <w:tcPr>
            <w:tcBorders>
              <w:right w:val="none"/>
            </w:tcBorders>
            <w:tcMar>
              <w:top w:type="dxa" w:w="80"/>
              <w:left w:type="dxa" w:w="120"/>
              <w:bottom w:type="dxa" w:w="80"/>
              <w:right w:type="dxa" w:w="120"/>
            </w:tcMar>
            <w:vAlign w:val="center"/>
          </w:tcPr>
          <w:p>
            <w:pPr>
              <w:pStyle w:val="MdTableCell"/>
            </w:pPr>
            <w:r>
              <w:t xml:space="preserve">Document the source of truth for metrics and policy state.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P1</w:t>
            </w:r>
          </w:p>
        </w:tc>
        <w:tc>
          <w:tcPr>
            <w:tcMar>
              <w:top w:type="dxa" w:w="80"/>
              <w:left w:type="dxa" w:w="120"/>
              <w:bottom w:type="dxa" w:w="80"/>
              <w:right w:type="dxa" w:w="120"/>
            </w:tcMar>
            <w:vAlign w:val="center"/>
          </w:tcPr>
          <w:p>
            <w:pPr>
              <w:pStyle w:val="MdTableCell"/>
            </w:pPr>
            <w:r>
              <w:t xml:space="preserve">Persist task, incident, remediation, and DLP events in a durable store.</w:t>
            </w:r>
          </w:p>
        </w:tc>
        <w:tc>
          <w:tcPr>
            <w:tcMar>
              <w:top w:type="dxa" w:w="80"/>
              <w:left w:type="dxa" w:w="120"/>
              <w:bottom w:type="dxa" w:w="80"/>
              <w:right w:type="dxa" w:w="120"/>
            </w:tcMar>
            <w:vAlign w:val="center"/>
          </w:tcPr>
          <w:p>
            <w:pPr>
              <w:pStyle w:val="MdTableCell"/>
            </w:pPr>
            <w:r>
              <w:t xml:space="preserve">Enables history, trend analysis, and cross-session state.</w:t>
            </w:r>
          </w:p>
        </w:tc>
        <w:tc>
          <w:tcPr>
            <w:tcBorders>
              <w:right w:val="none"/>
            </w:tcBorders>
            <w:tcMar>
              <w:top w:type="dxa" w:w="80"/>
              <w:left w:type="dxa" w:w="120"/>
              <w:bottom w:type="dxa" w:w="80"/>
              <w:right w:type="dxa" w:w="120"/>
            </w:tcMar>
            <w:vAlign w:val="center"/>
          </w:tcPr>
          <w:p>
            <w:pPr>
              <w:pStyle w:val="MdTableCell"/>
            </w:pPr>
            <w:r>
              <w:t xml:space="preserve">Add incident search and event retention settings.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P1</w:t>
            </w:r>
          </w:p>
        </w:tc>
        <w:tc>
          <w:tcPr>
            <w:tcMar>
              <w:top w:type="dxa" w:w="80"/>
              <w:left w:type="dxa" w:w="120"/>
              <w:bottom w:type="dxa" w:w="80"/>
              <w:right w:type="dxa" w:w="120"/>
            </w:tcMar>
            <w:vAlign w:val="center"/>
          </w:tcPr>
          <w:p>
            <w:pPr>
              <w:pStyle w:val="MdTableCell"/>
            </w:pPr>
            <w:r>
              <w:t xml:space="preserve">Add contract tests for Splunk HEC, webhook payloads, NL-to-SPL, DLP output schemas, and K8s adapters.</w:t>
            </w:r>
          </w:p>
        </w:tc>
        <w:tc>
          <w:tcPr>
            <w:tcMar>
              <w:top w:type="dxa" w:w="80"/>
              <w:left w:type="dxa" w:w="120"/>
              <w:bottom w:type="dxa" w:w="80"/>
              <w:right w:type="dxa" w:w="120"/>
            </w:tcMar>
            <w:vAlign w:val="center"/>
          </w:tcPr>
          <w:p>
            <w:pPr>
              <w:pStyle w:val="MdTableCell"/>
            </w:pPr>
            <w:r>
              <w:t xml:space="preserve">Protects integration boundaries.</w:t>
            </w:r>
          </w:p>
        </w:tc>
        <w:tc>
          <w:tcPr>
            <w:tcBorders>
              <w:right w:val="none"/>
            </w:tcBorders>
            <w:tcMar>
              <w:top w:type="dxa" w:w="80"/>
              <w:left w:type="dxa" w:w="120"/>
              <w:bottom w:type="dxa" w:w="80"/>
              <w:right w:type="dxa" w:w="120"/>
            </w:tcMar>
            <w:vAlign w:val="center"/>
          </w:tcPr>
          <w:p>
            <w:pPr>
              <w:pStyle w:val="MdTableCell"/>
            </w:pPr>
            <w:r>
              <w:t xml:space="preserve">Publish CI results and sample fixtures.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P1</w:t>
            </w:r>
          </w:p>
        </w:tc>
        <w:tc>
          <w:tcPr>
            <w:tcMar>
              <w:top w:type="dxa" w:w="80"/>
              <w:left w:type="dxa" w:w="120"/>
              <w:bottom w:type="dxa" w:w="80"/>
              <w:right w:type="dxa" w:w="120"/>
            </w:tcMar>
            <w:vAlign w:val="center"/>
          </w:tcPr>
          <w:p>
            <w:pPr>
              <w:pStyle w:val="MdTableCell"/>
            </w:pPr>
            <w:r>
              <w:t xml:space="preserve">Instrument latency with percentile metrics rather than only averages or single timings.</w:t>
            </w:r>
          </w:p>
        </w:tc>
        <w:tc>
          <w:tcPr>
            <w:tcMar>
              <w:top w:type="dxa" w:w="80"/>
              <w:left w:type="dxa" w:w="120"/>
              <w:bottom w:type="dxa" w:w="80"/>
              <w:right w:type="dxa" w:w="120"/>
            </w:tcMar>
            <w:vAlign w:val="center"/>
          </w:tcPr>
          <w:p>
            <w:pPr>
              <w:pStyle w:val="MdTableCell"/>
            </w:pPr>
            <w:r>
              <w:t xml:space="preserve">Makes performance claims meaningful.</w:t>
            </w:r>
          </w:p>
        </w:tc>
        <w:tc>
          <w:tcPr>
            <w:tcBorders>
              <w:right w:val="none"/>
            </w:tcBorders>
            <w:tcMar>
              <w:top w:type="dxa" w:w="80"/>
              <w:left w:type="dxa" w:w="120"/>
              <w:bottom w:type="dxa" w:w="80"/>
              <w:right w:type="dxa" w:w="120"/>
            </w:tcMar>
            <w:vAlign w:val="center"/>
          </w:tcPr>
          <w:p>
            <w:pPr>
              <w:pStyle w:val="MdTableCell"/>
            </w:pPr>
            <w:r>
              <w:t xml:space="preserve">Report p50, p95, p99, workload, hardware, and network conditions.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P2</w:t>
            </w:r>
          </w:p>
        </w:tc>
        <w:tc>
          <w:tcPr>
            <w:tcMar>
              <w:top w:type="dxa" w:w="80"/>
              <w:left w:type="dxa" w:w="120"/>
              <w:bottom w:type="dxa" w:w="80"/>
              <w:right w:type="dxa" w:w="120"/>
            </w:tcMar>
            <w:vAlign w:val="center"/>
          </w:tcPr>
          <w:p>
            <w:pPr>
              <w:pStyle w:val="MdTableCell"/>
            </w:pPr>
            <w:r>
              <w:t xml:space="preserve">Add tenant/agent/region/model dimensions to metrics and logs.</w:t>
            </w:r>
          </w:p>
        </w:tc>
        <w:tc>
          <w:tcPr>
            <w:tcMar>
              <w:top w:type="dxa" w:w="80"/>
              <w:left w:type="dxa" w:w="120"/>
              <w:bottom w:type="dxa" w:w="80"/>
              <w:right w:type="dxa" w:w="120"/>
            </w:tcMar>
            <w:vAlign w:val="center"/>
          </w:tcPr>
          <w:p>
            <w:pPr>
              <w:pStyle w:val="MdTableCell"/>
            </w:pPr>
            <w:r>
              <w:t xml:space="preserve">Makes the system useful for real fleets rather than only a global aggregate.</w:t>
            </w:r>
          </w:p>
        </w:tc>
        <w:tc>
          <w:tcPr>
            <w:tcBorders>
              <w:right w:val="none"/>
            </w:tcBorders>
            <w:tcMar>
              <w:top w:type="dxa" w:w="80"/>
              <w:left w:type="dxa" w:w="120"/>
              <w:bottom w:type="dxa" w:w="80"/>
              <w:right w:type="dxa" w:w="120"/>
            </w:tcMar>
            <w:vAlign w:val="center"/>
          </w:tcPr>
          <w:p>
            <w:pPr>
              <w:pStyle w:val="MdTableCell"/>
            </w:pPr>
            <w:r>
              <w:t xml:space="preserve">Include filters and drill-down links.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P2</w:t>
            </w:r>
          </w:p>
        </w:tc>
        <w:tc>
          <w:tcPr>
            <w:tcBorders>
              <w:bottom w:val="single" w:color="E1E4E8" w:sz="4"/>
            </w:tcBorders>
            <w:tcMar>
              <w:top w:type="dxa" w:w="80"/>
              <w:left w:type="dxa" w:w="120"/>
              <w:bottom w:type="dxa" w:w="80"/>
              <w:right w:type="dxa" w:w="120"/>
            </w:tcMar>
            <w:vAlign w:val="center"/>
          </w:tcPr>
          <w:p>
            <w:pPr>
              <w:pStyle w:val="MdTableCell"/>
            </w:pPr>
            <w:r>
              <w:t xml:space="preserve">Add a policy editor with versioning, validation, staged rollout, and rollback.</w:t>
            </w:r>
          </w:p>
        </w:tc>
        <w:tc>
          <w:tcPr>
            <w:tcBorders>
              <w:bottom w:val="single" w:color="E1E4E8" w:sz="4"/>
            </w:tcBorders>
            <w:tcMar>
              <w:top w:type="dxa" w:w="80"/>
              <w:left w:type="dxa" w:w="120"/>
              <w:bottom w:type="dxa" w:w="80"/>
              <w:right w:type="dxa" w:w="120"/>
            </w:tcMar>
            <w:vAlign w:val="center"/>
          </w:tcPr>
          <w:p>
            <w:pPr>
              <w:pStyle w:val="MdTableCell"/>
            </w:pPr>
            <w:r>
              <w:t xml:space="preserve">Makes remediation governable.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Show policy diff before activation.</w:t>
            </w:r>
          </w:p>
        </w:tc>
      </w:tr>
    </w:tbl>
    <w:p>
      <w:pPr>
        <w:pStyle w:val="MdParagraph"/>
      </w:pPr>
      <w:r>
        <w:t xml:space="preserve">The remediation implementation particularly needs stronger semantics. The code stores original router weights in an instance dictionary and schedules restoration in a background daemon thread.</w:t>
      </w:r>
      <w:hyperlink w:history="1" r:id="rIdrwof_21hr2wvkekxzzchi">
        <w:r>
          <w:rPr>
            <w:rStyle w:val="MdLink"/>
          </w:rPr>
          <w:t xml:space="preserve">3</w:t>
        </w:r>
      </w:hyperlink>
      <w:r>
        <w:t xml:space="preserve"> A process restart, overlapping policies, or concurrent anomaly types can create ambiguous restoration behavior. A durable policy state should instead store baseline values, active overrides, owner, version, expiry, and rollback token in a shared state store. Applying a new policy should be atomic and should define precedence when cost, latency, and error policies overlap.</w:t>
      </w:r>
    </w:p>
    <w:p>
      <w:pPr>
        <w:pStyle w:val="MdSpace"/>
        <w:spacing w:before="0" w:after="60"/>
      </w:pPr>
    </w:p>
    <w:p>
      <w:pPr>
        <w:pStyle w:val="MdParagraph"/>
      </w:pPr>
      <w:r>
        <w:t xml:space="preserve">The test story should also be normalized. Devpost states </w:t>
      </w:r>
      <w:r>
        <w:rPr>
          <w:rStyle w:val="MdStrong"/>
          <w:b/>
          <w:bCs/>
        </w:rPr>
        <w:t xml:space="preserve">17/17 pytest cases passed</w:t>
      </w:r>
      <w:r>
        <w:t xml:space="preserve">, while the repository README states </w:t>
      </w:r>
      <w:r>
        <w:rPr>
          <w:rStyle w:val="MdStrong"/>
          <w:b/>
          <w:bCs/>
        </w:rPr>
        <w:t xml:space="preserve">25 passed</w:t>
      </w:r>
      <w:r>
        <w:t xml:space="preserve"> across a broader suite.</w:t>
      </w:r>
      <w:hyperlink w:history="1" r:id="rIdr0lc-_8qihrrpumc1u589">
        <w:r>
          <w:rPr>
            <w:rStyle w:val="MdLink"/>
          </w:rPr>
          <w:t xml:space="preserve">1</w:t>
        </w:r>
      </w:hyperlink>
      <w:r>
        <w:t xml:space="preserve"> </w:t>
      </w:r>
      <w:hyperlink w:history="1" r:id="rIdcrvll19ad9qkxgfh0lpet">
        <w:r>
          <w:rPr>
            <w:rStyle w:val="MdLink"/>
          </w:rPr>
          <w:t xml:space="preserve">2</w:t>
        </w:r>
      </w:hyperlink>
      <w:r>
        <w:t xml:space="preserve"> This inconsistency is easy for a reviewer to notice. Choose one reproducible command, publish the exact count generated by CI, and include benchmark methodology next to claims such as “sub-10ms auto-remediation.” The number should specify whether it measures in-process policy dispatch, webhook round trip, external Splunk alert delivery, or end-to-end user-visible recovery.</w:t>
      </w:r>
    </w:p>
    <w:p>
      <w:pPr>
        <w:pStyle w:val="MdSpace"/>
        <w:spacing w:before="0" w:after="60"/>
      </w:pPr>
    </w:p>
    <w:p>
      <w:pPr>
        <w:pStyle w:val="Heading2"/>
        <w:pStyle w:val="MdHeading2"/>
      </w:pPr>
      <w:r>
        <w:t xml:space="preserve">UX recommendations by screen</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Screen</w:t>
            </w:r>
          </w:p>
        </w:tc>
        <w:tc>
          <w:tcPr>
            <w:tcMar>
              <w:top w:type="dxa" w:w="100"/>
              <w:left w:type="dxa" w:w="120"/>
              <w:bottom w:type="dxa" w:w="100"/>
              <w:right w:type="dxa" w:w="120"/>
            </w:tcMar>
            <w:vAlign w:val="center"/>
          </w:tcPr>
          <w:p>
            <w:pPr>
              <w:pStyle w:val="MdTableHeader"/>
            </w:pPr>
            <w:r>
              <w:t xml:space="preserve">Current issue</w:t>
            </w:r>
          </w:p>
        </w:tc>
        <w:tc>
          <w:tcPr>
            <w:tcBorders>
              <w:right w:val="none"/>
            </w:tcBorders>
            <w:tcMar>
              <w:top w:type="dxa" w:w="100"/>
              <w:left w:type="dxa" w:w="120"/>
              <w:bottom w:type="dxa" w:w="100"/>
              <w:right w:type="dxa" w:w="120"/>
            </w:tcMar>
            <w:vAlign w:val="center"/>
          </w:tcPr>
          <w:p>
            <w:pPr>
              <w:pStyle w:val="MdTableHeader"/>
            </w:pPr>
            <w:r>
              <w:t xml:space="preserve">Recommended redesign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Fleet Map</w:t>
            </w:r>
          </w:p>
        </w:tc>
        <w:tc>
          <w:tcPr>
            <w:tcMar>
              <w:top w:type="dxa" w:w="80"/>
              <w:left w:type="dxa" w:w="120"/>
              <w:bottom w:type="dxa" w:w="80"/>
              <w:right w:type="dxa" w:w="120"/>
            </w:tcMar>
            <w:vAlign w:val="center"/>
          </w:tcPr>
          <w:p>
            <w:pPr>
              <w:pStyle w:val="MdTableCell"/>
            </w:pPr>
            <w:r>
              <w:t xml:space="preserve">Visually attractive but largely decorative; no clear legend, time window, or incident drill-down.</w:t>
            </w:r>
          </w:p>
        </w:tc>
        <w:tc>
          <w:tcPr>
            <w:tcBorders>
              <w:right w:val="none"/>
            </w:tcBorders>
            <w:tcMar>
              <w:top w:type="dxa" w:w="80"/>
              <w:left w:type="dxa" w:w="120"/>
              <w:bottom w:type="dxa" w:w="80"/>
              <w:right w:type="dxa" w:w="120"/>
            </w:tcMar>
            <w:vAlign w:val="center"/>
          </w:tcPr>
          <w:p>
            <w:pPr>
              <w:pStyle w:val="MdTableCell"/>
            </w:pPr>
            <w:r>
              <w:t xml:space="preserve">Add legend, event volume/health encoding, time range, region filters, and click-through to incidents.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Async Engine</w:t>
            </w:r>
          </w:p>
        </w:tc>
        <w:tc>
          <w:tcPr>
            <w:tcMar>
              <w:top w:type="dxa" w:w="80"/>
              <w:left w:type="dxa" w:w="120"/>
              <w:bottom w:type="dxa" w:w="80"/>
              <w:right w:type="dxa" w:w="120"/>
            </w:tcMar>
            <w:vAlign w:val="center"/>
          </w:tcPr>
          <w:p>
            <w:pPr>
              <w:pStyle w:val="MdTableCell"/>
            </w:pPr>
            <w:r>
              <w:t xml:space="preserve">Task submission works, but history and execution detail are thin.</w:t>
            </w:r>
          </w:p>
        </w:tc>
        <w:tc>
          <w:tcPr>
            <w:tcBorders>
              <w:right w:val="none"/>
            </w:tcBorders>
            <w:tcMar>
              <w:top w:type="dxa" w:w="80"/>
              <w:left w:type="dxa" w:w="120"/>
              <w:bottom w:type="dxa" w:w="80"/>
              <w:right w:type="dxa" w:w="120"/>
            </w:tcMar>
            <w:vAlign w:val="center"/>
          </w:tcPr>
          <w:p>
            <w:pPr>
              <w:pStyle w:val="MdTableCell"/>
            </w:pPr>
            <w:r>
              <w:t xml:space="preserve">Add recent task table with status, priority, duration, worker, input size, and error details.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HPA</w:t>
            </w:r>
          </w:p>
        </w:tc>
        <w:tc>
          <w:tcPr>
            <w:tcMar>
              <w:top w:type="dxa" w:w="80"/>
              <w:left w:type="dxa" w:w="120"/>
              <w:bottom w:type="dxa" w:w="80"/>
              <w:right w:type="dxa" w:w="120"/>
            </w:tcMar>
            <w:vAlign w:val="center"/>
          </w:tcPr>
          <w:p>
            <w:pPr>
              <w:pStyle w:val="MdTableCell"/>
            </w:pPr>
            <w:r>
              <w:t xml:space="preserve">Simulator state is clear, but action naming is potentially misleading and deployment text truncates.</w:t>
            </w:r>
          </w:p>
        </w:tc>
        <w:tc>
          <w:tcPr>
            <w:tcBorders>
              <w:right w:val="none"/>
            </w:tcBorders>
            <w:tcMar>
              <w:top w:type="dxa" w:w="80"/>
              <w:left w:type="dxa" w:w="120"/>
              <w:bottom w:type="dxa" w:w="80"/>
              <w:right w:type="dxa" w:w="120"/>
            </w:tcMar>
            <w:vAlign w:val="center"/>
          </w:tcPr>
          <w:p>
            <w:pPr>
              <w:pStyle w:val="MdTableCell"/>
            </w:pPr>
            <w:r>
              <w:t xml:space="preserve">Rename actions around simulation/live mode, show connection status, target/current/max, reason, and event history.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DLP</w:t>
            </w:r>
          </w:p>
        </w:tc>
        <w:tc>
          <w:tcPr>
            <w:tcMar>
              <w:top w:type="dxa" w:w="80"/>
              <w:left w:type="dxa" w:w="120"/>
              <w:bottom w:type="dxa" w:w="80"/>
              <w:right w:type="dxa" w:w="120"/>
            </w:tcMar>
            <w:vAlign w:val="center"/>
          </w:tcPr>
          <w:p>
            <w:pPr>
              <w:pStyle w:val="MdTableCell"/>
            </w:pPr>
            <w:r>
              <w:t xml:space="preserve">Best interactive demo, but KPI refresh and policy semantics are unclear.</w:t>
            </w:r>
          </w:p>
        </w:tc>
        <w:tc>
          <w:tcPr>
            <w:tcBorders>
              <w:right w:val="none"/>
            </w:tcBorders>
            <w:tcMar>
              <w:top w:type="dxa" w:w="80"/>
              <w:left w:type="dxa" w:w="120"/>
              <w:bottom w:type="dxa" w:w="80"/>
              <w:right w:type="dxa" w:w="120"/>
            </w:tcMar>
            <w:vAlign w:val="center"/>
          </w:tcPr>
          <w:p>
            <w:pPr>
              <w:pStyle w:val="MdTableCell"/>
            </w:pPr>
            <w:r>
              <w:t xml:space="preserve">Show rule definitions, confidence, action taken, reversible redaction, test cases, and updated counters with timestamps.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Telemetry</w:t>
            </w:r>
          </w:p>
        </w:tc>
        <w:tc>
          <w:tcPr>
            <w:tcMar>
              <w:top w:type="dxa" w:w="80"/>
              <w:left w:type="dxa" w:w="120"/>
              <w:bottom w:type="dxa" w:w="80"/>
              <w:right w:type="dxa" w:w="120"/>
            </w:tcMar>
            <w:vAlign w:val="center"/>
          </w:tcPr>
          <w:p>
            <w:pPr>
              <w:pStyle w:val="MdTableCell"/>
            </w:pPr>
            <w:r>
              <w:t xml:space="preserve">Raw Prometheus text is useful to engineers but not an operational dashboard.</w:t>
            </w:r>
          </w:p>
        </w:tc>
        <w:tc>
          <w:tcPr>
            <w:tcBorders>
              <w:right w:val="none"/>
            </w:tcBorders>
            <w:tcMar>
              <w:top w:type="dxa" w:w="80"/>
              <w:left w:type="dxa" w:w="120"/>
              <w:bottom w:type="dxa" w:w="80"/>
              <w:right w:type="dxa" w:w="120"/>
            </w:tcMar>
            <w:vAlign w:val="center"/>
          </w:tcPr>
          <w:p>
            <w:pPr>
              <w:pStyle w:val="MdTableCell"/>
            </w:pPr>
            <w:r>
              <w:t xml:space="preserve">Add charts for throughput, latency p95, cost, cache hit rate, DLP violations, and remediation outcomes; retain raw text under an advanced section.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Navigation</w:t>
            </w:r>
          </w:p>
        </w:tc>
        <w:tc>
          <w:tcPr>
            <w:tcBorders>
              <w:bottom w:val="single" w:color="E1E4E8" w:sz="4"/>
            </w:tcBorders>
            <w:tcMar>
              <w:top w:type="dxa" w:w="80"/>
              <w:left w:type="dxa" w:w="120"/>
              <w:bottom w:type="dxa" w:w="80"/>
              <w:right w:type="dxa" w:w="120"/>
            </w:tcMar>
            <w:vAlign w:val="center"/>
          </w:tcPr>
          <w:p>
            <w:pPr>
              <w:pStyle w:val="MdTableCell"/>
            </w:pPr>
            <w:r>
              <w:t xml:space="preserve">Five unrelated peer tabs make the product feel broad rather than focused.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Lead with Overview and Incidents; place Map, Workers, Security, Policies, and Integrations under focused sections.</w:t>
            </w:r>
          </w:p>
        </w:tc>
      </w:tr>
    </w:tbl>
    <w:p>
      <w:pPr>
        <w:pStyle w:val="Heading2"/>
        <w:pStyle w:val="MdHeading2"/>
      </w:pPr>
      <w:r>
        <w:t xml:space="preserve">Suggested 90-second demo script</w:t>
      </w:r>
    </w:p>
    <w:p>
      <w:pPr>
        <w:pStyle w:val="MdParagraph"/>
      </w:pPr>
      <w:r>
        <w:t xml:space="preserve">Start with the Overview screen and state the problem in one sentence: </w:t>
      </w:r>
      <w:r>
        <w:rPr>
          <w:rStyle w:val="MdStrong"/>
          <w:b/>
          <w:bCs/>
        </w:rPr>
        <w:t xml:space="preserve">“Unified Ops AX detects agent-fleet cost, latency, and security incidents and applies controlled remediation.”</w:t>
      </w:r>
      <w:r>
        <w:t xml:space="preserve"> Show the fleet baseline with a visible DEMO badge and a timestamp. Trigger a cost-spike event. Open the incident drawer and show the metric, threshold, affected model, and recommended policy. Select “Preview policy,” display the proposed routing-weight change and expected trade-off, then approve it. Show the action timeline as the policy executes, the cooldown begins, and the post-remediation metric changes. Finish by opening the DLP view and demonstrate that sensitive telemetry is masked before emission. This sequence proves the closed loop without asking the reviewer to understand five separate subsystems.</w:t>
      </w:r>
    </w:p>
    <w:p>
      <w:pPr>
        <w:pStyle w:val="MdSpace"/>
        <w:spacing w:before="0" w:after="60"/>
      </w:pPr>
    </w:p>
    <w:p>
      <w:pPr>
        <w:pStyle w:val="Heading2"/>
        <w:pStyle w:val="MdHeading2"/>
      </w:pPr>
      <w:r>
        <w:t xml:space="preserve">Recommended implementation order</w:t>
      </w:r>
    </w:p>
    <w:p>
      <w:pPr>
        <w:pStyle w:val="MdParagraph"/>
      </w:pPr>
      <w:r>
        <w:rPr>
          <w:rStyle w:val="MdStrong"/>
          <w:b/>
          <w:bCs/>
        </w:rPr>
        <w:t xml:space="preserve">Week 1: credibility and focus.</w:t>
      </w:r>
      <w:r>
        <w:t xml:space="preserve"> Remove unrelated navigation, choose one canonical entry point, add DEMO/CONNECTED badges, correct labels for simulated actions, reconcile test-count and model-name claims, and build the Overview/Incidents screen.</w:t>
      </w:r>
    </w:p>
    <w:p>
      <w:pPr>
        <w:pStyle w:val="MdSpace"/>
        <w:spacing w:before="0" w:after="60"/>
      </w:pPr>
    </w:p>
    <w:p>
      <w:pPr>
        <w:pStyle w:val="MdParagraph"/>
      </w:pPr>
      <w:r>
        <w:rPr>
          <w:rStyle w:val="MdStrong"/>
          <w:b/>
          <w:bCs/>
        </w:rPr>
        <w:t xml:space="preserve">Weeks 2–3: operational UX.</w:t>
      </w:r>
      <w:r>
        <w:t xml:space="preserve"> Add incident history, action timelines, timestamps, data provenance, policy preview, approval controls, cooldown visibility, rollback, and a real post-action verification view.</w:t>
      </w:r>
    </w:p>
    <w:p>
      <w:pPr>
        <w:pStyle w:val="MdSpace"/>
        <w:spacing w:before="0" w:after="60"/>
      </w:pPr>
    </w:p>
    <w:p>
      <w:pPr>
        <w:pStyle w:val="MdParagraph"/>
      </w:pPr>
      <w:r>
        <w:rPr>
          <w:rStyle w:val="MdStrong"/>
          <w:b/>
          <w:bCs/>
        </w:rPr>
        <w:t xml:space="preserve">Weeks 4–5: production foundations.</w:t>
      </w:r>
      <w:r>
        <w:t xml:space="preserve"> Add authentication and RBAC, signed/idempotent webhooks, durable state, structured audit logs, persistent cooldown state, and integration contract tests.</w:t>
      </w:r>
    </w:p>
    <w:p>
      <w:pPr>
        <w:pStyle w:val="MdSpace"/>
        <w:spacing w:before="0" w:after="60"/>
      </w:pPr>
    </w:p>
    <w:p>
      <w:pPr>
        <w:pStyle w:val="MdParagraph"/>
      </w:pPr>
      <w:r>
        <w:rPr>
          <w:rStyle w:val="MdStrong"/>
          <w:b/>
          <w:bCs/>
        </w:rPr>
        <w:t xml:space="preserve">Weeks 6–8: proof and scale.</w:t>
      </w:r>
      <w:r>
        <w:t xml:space="preserve"> Connect at least one real integration end to end, publish reproducible p50/p95/p99 benchmarks, add a failure-injection demo, and document deployment, threat model, data retention, and cost assumptions.</w:t>
      </w:r>
    </w:p>
    <w:p>
      <w:pPr>
        <w:pStyle w:val="MdSpace"/>
        <w:spacing w:before="0" w:after="60"/>
      </w:pPr>
    </w:p>
    <w:p>
      <w:pPr>
        <w:pStyle w:val="Heading2"/>
        <w:pStyle w:val="MdHeading2"/>
      </w:pPr>
      <w:r>
        <w:t xml:space="preserve">Bottom line</w:t>
      </w:r>
    </w:p>
    <w:p>
      <w:pPr>
        <w:pStyle w:val="MdParagraph"/>
      </w:pPr>
      <w:r>
        <w:t xml:space="preserve">The project already has the ingredients of a memorable agentic-operations demo. Its strongest differentiator is the </w:t>
      </w:r>
      <w:r>
        <w:rPr>
          <w:rStyle w:val="MdStrong"/>
          <w:b/>
          <w:bCs/>
        </w:rPr>
        <w:t xml:space="preserve">closed-loop remediation narrative</w:t>
      </w:r>
      <w:r>
        <w:t xml:space="preserve">, not the 3D map or the number of subsystems. The most valuable next step is therefore to make the system feel </w:t>
      </w:r>
      <w:r>
        <w:rPr>
          <w:rStyle w:val="MdStrong"/>
          <w:b/>
          <w:bCs/>
        </w:rPr>
        <w:t xml:space="preserve">truthful, focused, and governable</w:t>
      </w:r>
      <w:r>
        <w:t xml:space="preserve">: one incident workflow, explicit demo boundaries, durable auditability, and measured proof that each remediation changed the intended system behavior.</w:t>
      </w:r>
    </w:p>
    <w:p>
      <w:pPr>
        <w:pStyle w:val="MdSpace"/>
        <w:spacing w:before="0" w:after="60"/>
      </w:pPr>
    </w:p>
    <w:p>
      <w:pPr>
        <w:pStyle w:val="Heading2"/>
        <w:pStyle w:val="MdHeading2"/>
      </w:pPr>
      <w:r>
        <w:t xml:space="preserve">References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c7zgafc4-fawnoxgifdsy" Type="http://schemas.openxmlformats.org/officeDocument/2006/relationships/hyperlink" Target="https://devpost.com/software/unified-ops-ax" TargetMode="External"/><Relationship Id="rIdza_jpfopiaqihgb2eupr3" Type="http://schemas.openxmlformats.org/officeDocument/2006/relationships/hyperlink" Target="https://github.com/sechan9999/unified-ops-ax" TargetMode="External"/><Relationship Id="rIdiljg2xmxfzzypfhbwzxgb" Type="http://schemas.openxmlformats.org/officeDocument/2006/relationships/hyperlink" Target="https://devpost.com/software/unified-ops-ax" TargetMode="External"/><Relationship Id="rIdzgrlr0sryeyeaijm9bksy" Type="http://schemas.openxmlformats.org/officeDocument/2006/relationships/hyperlink" Target="https://github.com/sechan9999/unified-ops-ax" TargetMode="External"/><Relationship Id="rIdjnqvczkvd5sk6zolw5ain" Type="http://schemas.openxmlformats.org/officeDocument/2006/relationships/hyperlink" Target="https://raw.githubusercontent.com/sechan9999/unified-ops-ax/main/auto_remediation.py" TargetMode="External"/><Relationship Id="rId1s8i0muufz3vs8xudh0jm" Type="http://schemas.openxmlformats.org/officeDocument/2006/relationships/hyperlink" Target="https://github.com/sechan9999/unified-ops-ax" TargetMode="External"/><Relationship Id="rIdgpd5wxu3abozyhkhwtuh6" Type="http://schemas.openxmlformats.org/officeDocument/2006/relationships/hyperlink" Target="https://devpost.com/software/unified-ops-ax" TargetMode="External"/><Relationship Id="rIdx5aleys4ydmccvbhodne7" Type="http://schemas.openxmlformats.org/officeDocument/2006/relationships/hyperlink" Target="https://github.com/sechan9999/unified-ops-ax" TargetMode="External"/><Relationship Id="rIdrwof_21hr2wvkekxzzchi" Type="http://schemas.openxmlformats.org/officeDocument/2006/relationships/hyperlink" Target="https://raw.githubusercontent.com/sechan9999/unified-ops-ax/main/auto_remediation.py" TargetMode="External"/><Relationship Id="rIdr0lc-_8qihrrpumc1u589" Type="http://schemas.openxmlformats.org/officeDocument/2006/relationships/hyperlink" Target="https://devpost.com/software/unified-ops-ax" TargetMode="External"/><Relationship Id="rIdcrvll19ad9qkxgfh0lpet" Type="http://schemas.openxmlformats.org/officeDocument/2006/relationships/hyperlink" Target="https://github.com/sechan9999/unified-ops-ax" TargetMode="External"/><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2026-08-26T23:41:07.011Z</dcterms:created>
  <dcterms:modified xsi:type="dcterms:W3CDTF">2026-08-26T23:41:07.011Z</dcterms:modified>
</cp:coreProperties>
</file>

<file path=docProps/custom.xml><?xml version="1.0" encoding="utf-8"?>
<Properties xmlns="http://schemas.openxmlformats.org/officeDocument/2006/custom-properties" xmlns:vt="http://schemas.openxmlformats.org/officeDocument/2006/docPropsVTypes"/>
</file>