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34BD" w:rsidRDefault="005734BD" w:rsidP="005734BD">
      <w:pPr>
        <w:pStyle w:val="NormalWeb"/>
        <w:jc w:val="both"/>
        <w:rPr>
          <w:color w:val="000000"/>
          <w:sz w:val="27"/>
          <w:szCs w:val="27"/>
        </w:rPr>
      </w:pPr>
      <w:bookmarkStart w:id="0" w:name="_GoBack"/>
      <w:bookmarkEnd w:id="0"/>
    </w:p>
    <w:p w:rsidR="005734BD" w:rsidRDefault="005734BD" w:rsidP="005734BD">
      <w:pPr>
        <w:pStyle w:val="NormalWeb"/>
        <w:jc w:val="both"/>
        <w:rPr>
          <w:b/>
          <w:color w:val="000000"/>
          <w:sz w:val="27"/>
          <w:szCs w:val="27"/>
        </w:rPr>
      </w:pPr>
      <w:r w:rsidRPr="005734BD">
        <w:rPr>
          <w:b/>
          <w:color w:val="000000"/>
          <w:sz w:val="27"/>
          <w:szCs w:val="27"/>
        </w:rPr>
        <w:t>TI avança em Governança, Gestão e Infraestrutura</w:t>
      </w:r>
    </w:p>
    <w:p w:rsidR="005734BD" w:rsidRPr="005734BD" w:rsidRDefault="005734BD" w:rsidP="005734BD">
      <w:pPr>
        <w:pStyle w:val="NormalWeb"/>
        <w:jc w:val="both"/>
        <w:rPr>
          <w:b/>
          <w:color w:val="000000"/>
          <w:sz w:val="27"/>
          <w:szCs w:val="27"/>
        </w:rPr>
      </w:pPr>
    </w:p>
    <w:p w:rsidR="005734BD" w:rsidRDefault="005734BD" w:rsidP="005734BD">
      <w:pPr>
        <w:pStyle w:val="NormalWeb"/>
        <w:jc w:val="both"/>
        <w:rPr>
          <w:color w:val="000000"/>
          <w:sz w:val="27"/>
          <w:szCs w:val="27"/>
        </w:rPr>
      </w:pPr>
      <w:r>
        <w:rPr>
          <w:color w:val="000000"/>
          <w:sz w:val="27"/>
          <w:szCs w:val="27"/>
        </w:rPr>
        <w:t xml:space="preserve">Com o índice de pontuação em 0,86, o Tribunal de Justiça do Rio Grande do Norte atingiu o nível aprimorado no Diagnóstico de Governança, Gestão e Infraestrutura de TIC do Poder Judiciário – 2019, promovido pelo Conselho Nacional de Justiça (CNJ). A posição alcançada foi na média do resultado </w:t>
      </w:r>
      <w:proofErr w:type="spellStart"/>
      <w:r>
        <w:rPr>
          <w:color w:val="000000"/>
          <w:sz w:val="27"/>
          <w:szCs w:val="27"/>
        </w:rPr>
        <w:t>iGovTIC</w:t>
      </w:r>
      <w:proofErr w:type="spellEnd"/>
      <w:r>
        <w:rPr>
          <w:color w:val="000000"/>
          <w:sz w:val="27"/>
          <w:szCs w:val="27"/>
        </w:rPr>
        <w:t>-JUD 2019 por segmento, ou seja, entre os tribunais estaduais.</w:t>
      </w:r>
    </w:p>
    <w:p w:rsidR="005734BD" w:rsidRDefault="005734BD" w:rsidP="005734BD">
      <w:pPr>
        <w:pStyle w:val="NormalWeb"/>
        <w:jc w:val="both"/>
        <w:rPr>
          <w:color w:val="000000"/>
          <w:sz w:val="27"/>
          <w:szCs w:val="27"/>
        </w:rPr>
      </w:pPr>
      <w:r>
        <w:rPr>
          <w:color w:val="000000"/>
          <w:sz w:val="27"/>
          <w:szCs w:val="27"/>
        </w:rPr>
        <w:t xml:space="preserve">Resultado este que representa uma subida na classificação por nível de maturidade </w:t>
      </w:r>
      <w:proofErr w:type="spellStart"/>
      <w:r>
        <w:rPr>
          <w:color w:val="000000"/>
          <w:sz w:val="27"/>
          <w:szCs w:val="27"/>
        </w:rPr>
        <w:t>iGovTIC</w:t>
      </w:r>
      <w:proofErr w:type="spellEnd"/>
      <w:r>
        <w:rPr>
          <w:color w:val="000000"/>
          <w:sz w:val="27"/>
          <w:szCs w:val="27"/>
        </w:rPr>
        <w:t>-JUD 2019 alcançada pelo TJRN dentre todos os tribunais do Brasil. Os níveis de apuração utilizados no estudo são: Baixo, Satisfatório, Aprimorado e Excelência e o desempenho do tribunal potiguar demonstra uma maior maturidade quanto aos investimentos e serviços de TI.</w:t>
      </w:r>
    </w:p>
    <w:p w:rsidR="005734BD" w:rsidRDefault="005734BD" w:rsidP="005734BD">
      <w:pPr>
        <w:pStyle w:val="NormalWeb"/>
        <w:jc w:val="both"/>
        <w:rPr>
          <w:color w:val="000000"/>
          <w:sz w:val="27"/>
          <w:szCs w:val="27"/>
        </w:rPr>
      </w:pPr>
      <w:r>
        <w:rPr>
          <w:color w:val="000000"/>
          <w:sz w:val="27"/>
          <w:szCs w:val="27"/>
        </w:rPr>
        <w:t>Secretário de Tecnologia da Informação e Comunicação do TJRN, Gerânio Gomes explica que, por meio deste questionário de governança anual, o CNJ avalia quais são os processos, procedimentos e as ações que cada TI está fazendo em seus tribunais e isso gera um norte com base nas boas práticas internacionais para que os tribunais sigam.</w:t>
      </w:r>
    </w:p>
    <w:p w:rsidR="005734BD" w:rsidRPr="005734BD" w:rsidRDefault="005734BD" w:rsidP="005734BD">
      <w:pPr>
        <w:pStyle w:val="NormalWeb"/>
        <w:jc w:val="both"/>
        <w:rPr>
          <w:b/>
          <w:color w:val="000000"/>
          <w:sz w:val="27"/>
          <w:szCs w:val="27"/>
        </w:rPr>
      </w:pPr>
      <w:r w:rsidRPr="005734BD">
        <w:rPr>
          <w:b/>
          <w:color w:val="000000"/>
          <w:sz w:val="27"/>
          <w:szCs w:val="27"/>
        </w:rPr>
        <w:t>BEM ORGANIZADA</w:t>
      </w:r>
    </w:p>
    <w:p w:rsidR="005734BD" w:rsidRDefault="005734BD" w:rsidP="005734BD">
      <w:pPr>
        <w:pStyle w:val="NormalWeb"/>
        <w:jc w:val="both"/>
        <w:rPr>
          <w:color w:val="000000"/>
          <w:sz w:val="27"/>
          <w:szCs w:val="27"/>
        </w:rPr>
      </w:pPr>
      <w:r>
        <w:rPr>
          <w:color w:val="000000"/>
          <w:sz w:val="27"/>
          <w:szCs w:val="27"/>
        </w:rPr>
        <w:t>Ele ressalta a pontuação de 0,86 alcançada, pois “mostra que estamos utilizando boas práticas internacionais de TIC para que tenhamos uma área de tecnologia mais bem organizada e mais próxima das necessidades dos usuários garantindo naturalmente a celeridade processual”.</w:t>
      </w:r>
    </w:p>
    <w:p w:rsidR="005734BD" w:rsidRDefault="005734BD" w:rsidP="005734BD">
      <w:pPr>
        <w:pStyle w:val="NormalWeb"/>
        <w:jc w:val="both"/>
        <w:rPr>
          <w:color w:val="000000"/>
          <w:sz w:val="27"/>
          <w:szCs w:val="27"/>
        </w:rPr>
      </w:pPr>
      <w:r>
        <w:rPr>
          <w:color w:val="000000"/>
          <w:sz w:val="27"/>
          <w:szCs w:val="27"/>
        </w:rPr>
        <w:t>Para efeitos de ilustração, o TJRN ficou melhor posicionado que tribunais de médio porte, como o TJMA, TJCE, TJBA e TJDFT e de grande porte, como o TJMG, TJRS, TJRJ e o TJSP.</w:t>
      </w:r>
    </w:p>
    <w:p w:rsidR="005734BD" w:rsidRDefault="005734BD" w:rsidP="005734BD">
      <w:pPr>
        <w:pStyle w:val="NormalWeb"/>
        <w:jc w:val="both"/>
        <w:rPr>
          <w:color w:val="000000"/>
          <w:sz w:val="27"/>
          <w:szCs w:val="27"/>
        </w:rPr>
      </w:pPr>
      <w:r>
        <w:rPr>
          <w:color w:val="000000"/>
          <w:sz w:val="27"/>
          <w:szCs w:val="27"/>
        </w:rPr>
        <w:t xml:space="preserve">No ano de 2018, o TJRN alcançou o índice de 0,76 no mesmo questionário aplicado, o que comprova o compromisso das gestões do tribunal potiguar com o incremento de investimento em tecnologia de informática como um dos meios para imprimir maior celeridade aos julgamentos dos processos na Justiça </w:t>
      </w:r>
      <w:proofErr w:type="spellStart"/>
      <w:r>
        <w:rPr>
          <w:color w:val="000000"/>
          <w:sz w:val="27"/>
          <w:szCs w:val="27"/>
        </w:rPr>
        <w:t>norte-riograndense</w:t>
      </w:r>
      <w:proofErr w:type="spellEnd"/>
      <w:r>
        <w:rPr>
          <w:color w:val="000000"/>
          <w:sz w:val="27"/>
          <w:szCs w:val="27"/>
        </w:rPr>
        <w:t>.</w:t>
      </w:r>
    </w:p>
    <w:p w:rsidR="005734BD" w:rsidRPr="005734BD" w:rsidRDefault="005734BD" w:rsidP="005734BD">
      <w:pPr>
        <w:pStyle w:val="NormalWeb"/>
        <w:jc w:val="both"/>
        <w:rPr>
          <w:b/>
          <w:color w:val="000000"/>
          <w:sz w:val="27"/>
          <w:szCs w:val="27"/>
        </w:rPr>
      </w:pPr>
      <w:r w:rsidRPr="005734BD">
        <w:rPr>
          <w:b/>
          <w:color w:val="000000"/>
          <w:sz w:val="27"/>
          <w:szCs w:val="27"/>
        </w:rPr>
        <w:t>APOIO DIRETO</w:t>
      </w:r>
    </w:p>
    <w:p w:rsidR="005734BD" w:rsidRDefault="005734BD" w:rsidP="005734BD">
      <w:pPr>
        <w:pStyle w:val="NormalWeb"/>
        <w:jc w:val="both"/>
        <w:rPr>
          <w:color w:val="000000"/>
          <w:sz w:val="27"/>
          <w:szCs w:val="27"/>
        </w:rPr>
      </w:pPr>
      <w:r>
        <w:rPr>
          <w:color w:val="000000"/>
          <w:sz w:val="27"/>
          <w:szCs w:val="27"/>
        </w:rPr>
        <w:t xml:space="preserve">O responsável pela área de TI do TJRN esclarece que esse estudo segue padrões que os setores de informática de qualquer órgão público, </w:t>
      </w:r>
      <w:proofErr w:type="spellStart"/>
      <w:r>
        <w:rPr>
          <w:color w:val="000000"/>
          <w:sz w:val="27"/>
          <w:szCs w:val="27"/>
        </w:rPr>
        <w:t>independente</w:t>
      </w:r>
      <w:proofErr w:type="spellEnd"/>
      <w:r>
        <w:rPr>
          <w:color w:val="000000"/>
          <w:sz w:val="27"/>
          <w:szCs w:val="27"/>
        </w:rPr>
        <w:t xml:space="preserve"> de ser tribunal, devem seguir para terem melhor desempenho e assim se tornem uma </w:t>
      </w:r>
      <w:r>
        <w:rPr>
          <w:color w:val="000000"/>
          <w:sz w:val="27"/>
          <w:szCs w:val="27"/>
        </w:rPr>
        <w:lastRenderedPageBreak/>
        <w:t>informática mais organizada, com a possibilidade de dar maior apoio à área de negócio dos seus órgãos, que, no caso do TJRN, se dá no apoio direto aos sistemas judiciais e administrativos dos tribunais, visando, no fim, a celeridade processual.</w:t>
      </w:r>
    </w:p>
    <w:p w:rsidR="005734BD" w:rsidRDefault="005734BD" w:rsidP="005734BD">
      <w:pPr>
        <w:pStyle w:val="NormalWeb"/>
        <w:jc w:val="both"/>
        <w:rPr>
          <w:color w:val="000000"/>
          <w:sz w:val="27"/>
          <w:szCs w:val="27"/>
        </w:rPr>
      </w:pPr>
      <w:r>
        <w:rPr>
          <w:color w:val="000000"/>
          <w:sz w:val="27"/>
          <w:szCs w:val="27"/>
        </w:rPr>
        <w:t>Segundo o secretário, essa orientação de atuação se subdivide em dimensões como políticas e planejamento; estruturas; macroprocessos; competências, desenvolvimento e desempenho das pessoas; riscos, monitoramento e auditoria; controle de gestão; sistemas e integração; serviços de infraestrutura; segurança da informação; pessoal do quadro de tecnologia; infraestrutura e de suporte técnico.</w:t>
      </w:r>
    </w:p>
    <w:sectPr w:rsidR="005734B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2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734BD"/>
    <w:rsid w:val="005734BD"/>
    <w:rsid w:val="007603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734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2382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Matéria 2   Governança em TI</Template>
  <TotalTime>5</TotalTime>
  <Pages>2</Pages>
  <Words>431</Words>
  <Characters>2332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Valeria</dc:creator>
  <cp:keywords/>
  <dc:description/>
  <cp:lastModifiedBy>Valeria</cp:lastModifiedBy>
  <cp:revision>1</cp:revision>
  <dcterms:created xsi:type="dcterms:W3CDTF">2020-02-16T22:11:00Z</dcterms:created>
  <dcterms:modified xsi:type="dcterms:W3CDTF">2020-02-16T22:16:00Z</dcterms:modified>
</cp:coreProperties>
</file>