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680CBF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2B49F5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3F6352" w:rsidRDefault="00284AA0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633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0CBF">
        <w:rPr>
          <w:rFonts w:ascii="Times New Roman" w:hAnsi="Times New Roman" w:cs="Times New Roman"/>
          <w:b/>
          <w:sz w:val="28"/>
          <w:szCs w:val="28"/>
          <w:lang w:val="uk-UA"/>
        </w:rPr>
        <w:t>Україна та ЄС.</w:t>
      </w:r>
    </w:p>
    <w:p w:rsidR="00A74BFB" w:rsidRDefault="00680875" w:rsidP="00A74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4D39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Європейське інтеграційне об’єднання – 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>це об’єднання груп розвинутих країн, які взаємодіють, торгують та переміщають в серединні угрупування товари, послуги, фактори виробництва та робочу силу. Тобто це є зоною вільної торгівлі, але не просто зоною вільної торгівлі а розширеною, оскільки саме розширена ЗВТ пропонує такий спектр мобілізації. І ця ЗВТ є прагненням України уже довгий час.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Взагалі відносини України ЄС були започатковані після здобуття незалежності України. Тоді вперше і пролунав заклик Євросоюзу до України підтримувати із державами – членами відкритий діалог та відкриті стосунки.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Позиція України щодо Євросоюзу була сформована вперше на законодавчому рівні в Основних напрямках зовнішньої політики України, що були схвалені Верховною Радою України 2 липня 1993 р. Ось починаючи із цього моменту Україна почала тяжіти до європейського інтеграційного об’єднання і від того моменту намагалась все ж таки приєднатись до ЄС, ці намагання ми можемо спостерігати і до сьогоднішнього дня.</w:t>
      </w:r>
    </w:p>
    <w:p w:rsidR="00680CBF" w:rsidRPr="00680CBF" w:rsidRDefault="00680CBF" w:rsidP="00680C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sz w:val="28"/>
          <w:szCs w:val="28"/>
          <w:lang w:val="uk-UA"/>
        </w:rPr>
        <w:t>Слід також підкреслити вигоди для України після вступу до ЄС: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1. Політичні вигоди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– будучи членом ЄС, Україна буде залучена до Спільної європейської політики безпеки та оборони (СЄПБО), яка гарантуватиме Україні державний суверенітет та територіальну недоторканість.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2. Економічні вигоди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– перш за все це макроекономічна стабільність, додаткові інвестиції в економіку країни, надання субсидій сільському господарству та отримання позитивного сальдо торговельного балансу.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Щодо макроекономічної стабільності, то у цьому випадку мається на увазі, при вступі до ЄС Україна має підтягнути свої економічні показники до європейських стандартів, створити досить розвинений ринок, закріпити тенденції до економічного зростання і саме по собі принесе Україні уже позитивні результати. Україна також отримає переваги від запровадження єдиної валюти при вступі в ЄС.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Щодо додаткових інвестицій в економіку України, то європейський ринок є великим ринком збуту виробів та джерелом задоволення потреб.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Слід зазначити, що за підсумками 2011 року об’єм прямих іноземних інвестицій (ПІІ) в Україну із країн ЄС склав 4 млрд.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дол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>.. США. Значний об’єм прямих інвестицій із країн ЄС зосереджений на підприємствах промисловості – 33,4%, в фінансових установах акумульовано – 33,1 % прямих інвестицій від загального обсягу надходжень до України.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Об’єм інвестицій в ЄС з України на кінець 2011 року склав 517, 5 млн.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дол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>.. США, або 94,5% від загального обсягу інвестицій з України.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Щодо надання субсидій сільському господарстві – після вступу до ЄС Україна долучиться до ефективної спільної сільськогосподарської політики ЄС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Отримання позитивного сальдо торгівельного балансу матиме місце за рахунок збуту українських товарів на ринках ЄС. Загальне зниження середньозваженого тарифу в результаті розширення ЄС матиме позитивну роль для українських імпортерів. Окрім цього ЄС максимально сприятиме інтеграції українських енергетичних, транспортних та телекомунікаційних мереж в європейську інфраструктуру.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3. Соціальні вигоди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– передбачають ефективний захист прав людини в інституціях ЄС, відкриття кордонів для вільного пересування населення, тобто шенгенська зона, яка передбачає вільне пересування осіб в межах ЄС, забезпечення високого рівня жи</w:t>
      </w:r>
      <w:r>
        <w:rPr>
          <w:rFonts w:ascii="Times New Roman" w:hAnsi="Times New Roman" w:cs="Times New Roman"/>
          <w:sz w:val="28"/>
          <w:szCs w:val="28"/>
          <w:lang w:val="uk-UA"/>
        </w:rPr>
        <w:t>ття населення та інше.</w:t>
      </w:r>
    </w:p>
    <w:p w:rsidR="00680CBF" w:rsidRPr="00680CBF" w:rsidRDefault="00680CBF" w:rsidP="00680C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sz w:val="28"/>
          <w:szCs w:val="28"/>
          <w:lang w:val="uk-UA"/>
        </w:rPr>
        <w:t>Перспективи та можливості від вступу до ЄС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1. Політичні перспективи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– передбачають стабільність політичної системи, сприйняття України як важливого суб’єкта політичних відносин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2. Економічні перспективи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– передбачають забезпечення розвитку малого та середнього бізнесу, а також впровадження стандартів ЄС у виробництві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3. Соціальні перспективи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– мають на меті формування середнього класу та проведення реформування освіти, охорони здоров’я, соціального захисту.</w:t>
      </w:r>
    </w:p>
    <w:p w:rsidR="00680CBF" w:rsidRPr="00680CBF" w:rsidRDefault="00680CBF" w:rsidP="00680C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sz w:val="28"/>
          <w:szCs w:val="28"/>
          <w:lang w:val="uk-UA"/>
        </w:rPr>
        <w:t>Недоліки та загрози від вступу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1. Політичні недоліки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несуть із собою часткову втрату суверенітету та підпорядкування територій органам ЄС, невизначеність стратегії розвитку, що також не дуже добре вплине на економічний стан, оскільки між країнами ЄС існує в деякій мірі висока конкуренція в деяких галузях, тому потрібно буде переорієнтовуватись на менш конкурентні галузі, а також негативним чинником буде погіршення взаємин із країнами СНД, а особливо із Росією, оскільки на сьогоднішній день перед Україною стоїть також питання про співпрацю із Митним Союзом Росії, Білорусії та Казахстану.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2. Економічні недоліки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– передбачають втрату конкурентоспроможності певних галузей, складність переходу на європейський рівень цін, квотування певних видів товарів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3. Соціальні недоліки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- це ускладнення візового режиму із східними сусідами</w:t>
      </w:r>
    </w:p>
    <w:p w:rsidR="00680CBF" w:rsidRPr="00680CBF" w:rsidRDefault="00680CBF" w:rsidP="00680C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sz w:val="28"/>
          <w:szCs w:val="28"/>
          <w:lang w:val="uk-UA"/>
        </w:rPr>
        <w:t>Загрози від вступу України до ЄС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Політичні загрози 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>– це небезпека втягнення України в конфлікт цивілізацій між Заходом і мусульманським світом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2. Економічні загрози 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>– передбачають можливе переміщення до України шкідливих виробництв, використання України як сировинного придатку, використання України як дешевої робочої сили</w:t>
      </w:r>
    </w:p>
    <w:p w:rsid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3. Соціальні загрози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несуть на меті поглиблення демографічного спаду, незаконна міграція та відплив кадрі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Підписання угоди про безвізовий режим України з ЄС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відбулося у Страсбурзі 17 травня 2017 року, за присутності президента України Петра Порошенка та голови Європейськ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 парламенту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Антоніо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Таяні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Українці, які мають біометричні паспорти, можуть приїжджати в країни ЄС з діловою чи туристичною метою або в сімейних справах на термін до 90 днів протягом 180-денного періоду протягом року. При в'їзді в Шенген, окрім біометричного паспорту, громадянам України необхідно мати підтвердження мети поїздки, місця проживання, наявність фінансових коштів, намір повернутися до місця постійного проживання, медичне страхування.[1]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Цей режим не розповсюджується на осіб, котрі мають намір прибути до ЄС з метою працевл</w:t>
      </w:r>
      <w:r>
        <w:rPr>
          <w:rFonts w:ascii="Times New Roman" w:hAnsi="Times New Roman" w:cs="Times New Roman"/>
          <w:sz w:val="28"/>
          <w:szCs w:val="28"/>
          <w:lang w:val="uk-UA"/>
        </w:rPr>
        <w:t>аштування чи навчання</w:t>
      </w:r>
      <w:r w:rsidRPr="00680CBF">
        <w:rPr>
          <w:rFonts w:ascii="Times New Roman" w:hAnsi="Times New Roman" w:cs="Times New Roman"/>
          <w:sz w:val="28"/>
          <w:szCs w:val="28"/>
          <w:lang w:val="uk-UA"/>
        </w:rPr>
        <w:t>. Візи скасовано до всіх держав-членів ЄС, за винятком Ірландії.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Єдиною країною, законодавство якої передбачає, що негромадяни Євросоюзу, що перетнули кордон в рамках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безвізу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, мають право працювати є Польща. У цьому випадку, українцю оформлять додаткові документи. Тобто, в рамках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безвізу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українці можуть приїхати до Польщі і самі знайти вакансію і отримати необхідні до</w:t>
      </w:r>
      <w:r>
        <w:rPr>
          <w:rFonts w:ascii="Times New Roman" w:hAnsi="Times New Roman" w:cs="Times New Roman"/>
          <w:sz w:val="28"/>
          <w:szCs w:val="28"/>
          <w:lang w:val="uk-UA"/>
        </w:rPr>
        <w:t>кументи для працевлаштування.</w:t>
      </w:r>
    </w:p>
    <w:p w:rsidR="00680CBF" w:rsidRPr="00680CBF" w:rsidRDefault="00680CBF" w:rsidP="00680C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sz w:val="28"/>
          <w:szCs w:val="28"/>
          <w:lang w:val="uk-UA"/>
        </w:rPr>
        <w:t>Правила перетину кордону з ЄС</w:t>
      </w:r>
    </w:p>
    <w:p w:rsidR="00680CBF" w:rsidRPr="00680CBF" w:rsidRDefault="00680CBF" w:rsidP="00680C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Порядок і правила перетину кордону ЄС громадянами третіх країн регулюються Шенгенським кодексом про кордони (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Schengen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borders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80CBF" w:rsidRPr="00680CBF" w:rsidRDefault="00680CBF" w:rsidP="00680C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b/>
          <w:sz w:val="28"/>
          <w:szCs w:val="28"/>
          <w:lang w:val="uk-UA"/>
        </w:rPr>
        <w:t>Умови в'їзду на територію ЄС є такими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громадянин третьої країни повинен мати чинний проїзний документ (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travel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>), що надає власнику право перетинати кордон і відповідає таким критеріям: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 залишатиметься чинним щонайменше три місяці після запланованої дати від'їзду з території держав-членів. У разі обґрунтованої нагальної потреби це зобов'язання може бути скасоване.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він має бути виданий протягом попередніх 10 років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громадянин може обґрунтувати мету та умови запланованого перебування і має достатні засоби для існування, як на період запланованого перебування, так і для повернення до країни походження або транзиту до третьої країни, право на в'їзд до якої він гарантовано має; або має можливість законно отримати такі засоби;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громадяни третіх країн не є особами, щодо яких створено запис у SIS (Шенгенській інформаційній системі) про відмову у в'їзді.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вони не вважаються загрозою для публічної політики, внутрішньої безпеки, здоров'я громадян або внутрішньої безпеки будь-якої з держав-членів, зокрема, щодо них не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внесено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записів про відмову у в'їзді на таких підставах до національних систем оповіщень (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national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alerts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засоби для існування оцінюються відповідно до тривалості та мети перебування і на підставі середніх цін у державах-членах на харчування та проживання бюджетного класу, помножених на кількість днів перебування.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>відповідні суми, встановлені державами-членами, повідомляють Європейській комісії відповідно до статті 39.</w:t>
      </w:r>
    </w:p>
    <w:p w:rsidR="00680CBF" w:rsidRPr="00680CBF" w:rsidRDefault="00680CBF" w:rsidP="00680C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оцінка достатності засобів для існування може ґрунтуватися на готівці,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тревел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-чеках і кредитних картках, які має громадянин третьої країни. Декларації 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спонсорування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0CBF">
        <w:rPr>
          <w:rFonts w:ascii="Times New Roman" w:hAnsi="Times New Roman" w:cs="Times New Roman"/>
          <w:sz w:val="28"/>
          <w:szCs w:val="28"/>
          <w:lang w:val="uk-UA"/>
        </w:rPr>
        <w:t>sponsorship</w:t>
      </w:r>
      <w:proofErr w:type="spellEnd"/>
      <w:r w:rsidRPr="00680CBF">
        <w:rPr>
          <w:rFonts w:ascii="Times New Roman" w:hAnsi="Times New Roman" w:cs="Times New Roman"/>
          <w:sz w:val="28"/>
          <w:szCs w:val="28"/>
          <w:lang w:val="uk-UA"/>
        </w:rPr>
        <w:t>), які відповідають чинному законодавству країни, та гарантійні листи від приймаючої сторони, які відповідають законам держави, де збирається перебувати громадянин третьої країни, також можуть бути доказом наявності достатніх засобів для існування.</w:t>
      </w:r>
    </w:p>
    <w:p w:rsidR="00144DAB" w:rsidRPr="00680CBF" w:rsidRDefault="00144DAB" w:rsidP="00204C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4D39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144DAB">
        <w:t xml:space="preserve"> </w:t>
      </w:r>
      <w:hyperlink r:id="rId5" w:history="1">
        <w:r w:rsidR="00680CBF" w:rsidRPr="00680CBF">
          <w:rPr>
            <w:rStyle w:val="a6"/>
            <w:b/>
            <w:sz w:val="28"/>
            <w:szCs w:val="28"/>
          </w:rPr>
          <w:t>https://youtu.be/QbeOqflG-_0</w:t>
        </w:r>
      </w:hyperlink>
      <w:r w:rsidR="00680CBF">
        <w:rPr>
          <w:lang w:val="uk-UA"/>
        </w:rPr>
        <w:t xml:space="preserve"> </w:t>
      </w:r>
      <w:bookmarkStart w:id="0" w:name="_GoBack"/>
      <w:bookmarkEnd w:id="0"/>
    </w:p>
    <w:p w:rsidR="00FA2278" w:rsidRPr="00A74BFB" w:rsidRDefault="00A74BFB" w:rsidP="00A74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2.   </w:t>
      </w:r>
      <w:proofErr w:type="spellStart"/>
      <w:r w:rsidR="00FA2278" w:rsidRPr="00A74BFB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 w:rsidR="00FA2278" w:rsidRPr="00A74BF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A2278" w:rsidRPr="00A74B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278" w:rsidRPr="00A74BFB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63359A"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пар. 28</w:t>
      </w:r>
      <w:r w:rsidR="003F6352" w:rsidRPr="00A74BF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80CBF">
        <w:rPr>
          <w:rFonts w:ascii="Times New Roman" w:hAnsi="Times New Roman" w:cs="Times New Roman"/>
          <w:sz w:val="28"/>
          <w:szCs w:val="28"/>
          <w:lang w:val="uk-UA"/>
        </w:rPr>
        <w:t xml:space="preserve"> письмово </w:t>
      </w:r>
      <w:proofErr w:type="spellStart"/>
      <w:r w:rsidR="00680CB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680CBF">
        <w:rPr>
          <w:rFonts w:ascii="Times New Roman" w:hAnsi="Times New Roman" w:cs="Times New Roman"/>
          <w:sz w:val="28"/>
          <w:szCs w:val="28"/>
          <w:lang w:val="uk-UA"/>
        </w:rPr>
        <w:t>. 241 № 1-4.</w:t>
      </w:r>
    </w:p>
    <w:p w:rsidR="00F2781C" w:rsidRPr="00A74BFB" w:rsidRDefault="00A74BFB" w:rsidP="00A74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3.      </w:t>
      </w:r>
      <w:r w:rsidR="00F2781C" w:rsidRPr="00A74B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ЗНО: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F2781C" w:rsidRPr="00A74BFB">
        <w:rPr>
          <w:rStyle w:val="a6"/>
          <w:rFonts w:ascii="Times New Roman" w:hAnsi="Times New Roman" w:cs="Times New Roman"/>
          <w:b/>
          <w:sz w:val="28"/>
          <w:szCs w:val="28"/>
          <w:lang w:val="uk-UA"/>
        </w:rPr>
        <w:t>http://zno.academia.in.ua/course/view.php?id=3</w:t>
      </w:r>
    </w:p>
    <w:p w:rsidR="00F2781C" w:rsidRPr="00A74BFB" w:rsidRDefault="00A74BFB" w:rsidP="00A74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A74B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F2781C" w:rsidRPr="00A74BFB">
        <w:rPr>
          <w:rFonts w:ascii="Times New Roman" w:hAnsi="Times New Roman" w:cs="Times New Roman"/>
          <w:b/>
          <w:sz w:val="28"/>
          <w:szCs w:val="28"/>
          <w:lang w:val="uk-UA"/>
        </w:rPr>
        <w:t>Повтор</w:t>
      </w:r>
      <w:r w:rsidR="00E25A49" w:rsidRPr="00A74BFB">
        <w:rPr>
          <w:rFonts w:ascii="Times New Roman" w:hAnsi="Times New Roman" w:cs="Times New Roman"/>
          <w:b/>
          <w:sz w:val="28"/>
          <w:szCs w:val="28"/>
          <w:lang w:val="uk-UA"/>
        </w:rPr>
        <w:t>ити т</w:t>
      </w:r>
      <w:r w:rsidR="00204C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ему «Україна </w:t>
      </w:r>
      <w:r w:rsidR="0063359A">
        <w:rPr>
          <w:rFonts w:ascii="Times New Roman" w:hAnsi="Times New Roman" w:cs="Times New Roman"/>
          <w:b/>
          <w:sz w:val="28"/>
          <w:szCs w:val="28"/>
          <w:lang w:val="uk-UA"/>
        </w:rPr>
        <w:t>201</w:t>
      </w:r>
      <w:r w:rsidR="00680CBF">
        <w:rPr>
          <w:rFonts w:ascii="Times New Roman" w:hAnsi="Times New Roman" w:cs="Times New Roman"/>
          <w:b/>
          <w:sz w:val="28"/>
          <w:szCs w:val="28"/>
          <w:lang w:val="uk-UA"/>
        </w:rPr>
        <w:t>4-2018</w:t>
      </w:r>
      <w:r w:rsidR="00974A4E" w:rsidRPr="00A74B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роках</w:t>
      </w:r>
      <w:r w:rsidR="003F6352" w:rsidRPr="00A74B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353F" w:rsidRPr="00A74BFB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F2781C" w:rsidRPr="00A7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124AD1"/>
    <w:rsid w:val="00144DAB"/>
    <w:rsid w:val="00204CC1"/>
    <w:rsid w:val="0023731E"/>
    <w:rsid w:val="00284AA0"/>
    <w:rsid w:val="002B49F5"/>
    <w:rsid w:val="002C4ED6"/>
    <w:rsid w:val="003140FA"/>
    <w:rsid w:val="0031527F"/>
    <w:rsid w:val="00355FFC"/>
    <w:rsid w:val="003F6352"/>
    <w:rsid w:val="004E0135"/>
    <w:rsid w:val="00560320"/>
    <w:rsid w:val="00562375"/>
    <w:rsid w:val="00625AA9"/>
    <w:rsid w:val="0063359A"/>
    <w:rsid w:val="00680875"/>
    <w:rsid w:val="00680CBF"/>
    <w:rsid w:val="006C4325"/>
    <w:rsid w:val="0071354F"/>
    <w:rsid w:val="0072353F"/>
    <w:rsid w:val="008B7F96"/>
    <w:rsid w:val="00974A4E"/>
    <w:rsid w:val="00A14D39"/>
    <w:rsid w:val="00A3413B"/>
    <w:rsid w:val="00A74BFB"/>
    <w:rsid w:val="00AA5642"/>
    <w:rsid w:val="00AB67F7"/>
    <w:rsid w:val="00C258F5"/>
    <w:rsid w:val="00E25A49"/>
    <w:rsid w:val="00F2337E"/>
    <w:rsid w:val="00F2781C"/>
    <w:rsid w:val="00FA2278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beOqflG-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cp:lastPrinted>2021-12-09T18:50:00Z</cp:lastPrinted>
  <dcterms:created xsi:type="dcterms:W3CDTF">2021-12-09T18:28:00Z</dcterms:created>
  <dcterms:modified xsi:type="dcterms:W3CDTF">2022-03-29T17:41:00Z</dcterms:modified>
</cp:coreProperties>
</file>