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E3" w:rsidRPr="00E45B96" w:rsidRDefault="00B21AE3" w:rsidP="00C770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45B96">
        <w:rPr>
          <w:rFonts w:ascii="Times New Roman" w:hAnsi="Times New Roman"/>
          <w:sz w:val="28"/>
          <w:szCs w:val="28"/>
          <w:lang w:val="uk-UA"/>
        </w:rPr>
        <w:t>Дата 22</w:t>
      </w:r>
      <w:r w:rsidRPr="00E45B96">
        <w:rPr>
          <w:rFonts w:ascii="Times New Roman" w:hAnsi="Times New Roman"/>
          <w:sz w:val="28"/>
          <w:szCs w:val="28"/>
          <w:lang w:val="uk-UA"/>
        </w:rPr>
        <w:t>.02.2022 р.</w:t>
      </w:r>
    </w:p>
    <w:p w:rsidR="00B21AE3" w:rsidRPr="00E45B96" w:rsidRDefault="00B21AE3" w:rsidP="00C770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45B96">
        <w:rPr>
          <w:rFonts w:ascii="Times New Roman" w:hAnsi="Times New Roman"/>
          <w:sz w:val="28"/>
          <w:szCs w:val="28"/>
          <w:lang w:val="uk-UA"/>
        </w:rPr>
        <w:t>Клас 11 – А</w:t>
      </w:r>
    </w:p>
    <w:p w:rsidR="00B21AE3" w:rsidRPr="00E45B96" w:rsidRDefault="00B21AE3" w:rsidP="00C770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45B96">
        <w:rPr>
          <w:rFonts w:ascii="Times New Roman" w:hAnsi="Times New Roman"/>
          <w:sz w:val="28"/>
          <w:szCs w:val="28"/>
          <w:lang w:val="uk-UA"/>
        </w:rPr>
        <w:t>Географія.</w:t>
      </w:r>
    </w:p>
    <w:p w:rsidR="00B21AE3" w:rsidRPr="00E45B96" w:rsidRDefault="00B21AE3" w:rsidP="00C770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45B96">
        <w:rPr>
          <w:rFonts w:ascii="Times New Roman" w:hAnsi="Times New Roman"/>
          <w:sz w:val="28"/>
          <w:szCs w:val="28"/>
          <w:lang w:val="uk-UA"/>
        </w:rPr>
        <w:t>Печеневська</w:t>
      </w:r>
      <w:proofErr w:type="spellEnd"/>
      <w:r w:rsidRPr="00E45B96">
        <w:rPr>
          <w:rFonts w:ascii="Times New Roman" w:hAnsi="Times New Roman"/>
          <w:sz w:val="28"/>
          <w:szCs w:val="28"/>
          <w:lang w:val="uk-UA"/>
        </w:rPr>
        <w:t xml:space="preserve"> Н.М.</w:t>
      </w:r>
    </w:p>
    <w:p w:rsidR="00B21AE3" w:rsidRPr="00E45B96" w:rsidRDefault="00B21AE3" w:rsidP="00C770D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21AE3" w:rsidRPr="00E45B96" w:rsidRDefault="00B21AE3" w:rsidP="00C770D6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E45B96">
        <w:rPr>
          <w:rStyle w:val="a4"/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Тема уроку. </w:t>
      </w:r>
      <w:r w:rsidRPr="00E45B96">
        <w:rPr>
          <w:rFonts w:ascii="Times New Roman" w:hAnsi="Times New Roman"/>
          <w:sz w:val="28"/>
          <w:szCs w:val="28"/>
          <w:lang w:val="uk-UA"/>
        </w:rPr>
        <w:t xml:space="preserve">Поняття «глобальна економіка». </w:t>
      </w:r>
    </w:p>
    <w:p w:rsidR="00B21AE3" w:rsidRPr="00E45B96" w:rsidRDefault="00B21AE3" w:rsidP="00C770D6">
      <w:pPr>
        <w:spacing w:after="0" w:line="240" w:lineRule="auto"/>
        <w:contextualSpacing/>
        <w:rPr>
          <w:rStyle w:val="a4"/>
          <w:rFonts w:ascii="Times New Roman" w:hAnsi="Times New Roman"/>
          <w:b w:val="0"/>
          <w:bCs w:val="0"/>
          <w:sz w:val="28"/>
          <w:szCs w:val="28"/>
          <w:lang w:val="uk-UA"/>
        </w:rPr>
      </w:pPr>
      <w:r w:rsidRPr="00B21AE3">
        <w:rPr>
          <w:rFonts w:ascii="Times New Roman" w:hAnsi="Times New Roman"/>
          <w:sz w:val="28"/>
          <w:szCs w:val="28"/>
          <w:lang w:val="uk-UA"/>
        </w:rPr>
        <w:t xml:space="preserve">Світовий ринок технологій, патентів і ліцензій, інформаційно-технологічних послуг.    </w:t>
      </w:r>
    </w:p>
    <w:p w:rsidR="00B21AE3" w:rsidRPr="00E45B96" w:rsidRDefault="00B21AE3" w:rsidP="00C770D6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shd w:val="clear" w:color="auto" w:fill="FFFFFF"/>
          <w:lang w:val="uk-UA"/>
        </w:rPr>
      </w:pPr>
      <w:r w:rsidRPr="00E45B96">
        <w:rPr>
          <w:b/>
          <w:sz w:val="28"/>
          <w:szCs w:val="28"/>
          <w:shd w:val="clear" w:color="auto" w:fill="FFFFFF"/>
          <w:lang w:val="uk-UA"/>
        </w:rPr>
        <w:t>Мета уроку:</w:t>
      </w:r>
      <w:r w:rsidRPr="00E45B96">
        <w:rPr>
          <w:sz w:val="28"/>
          <w:szCs w:val="28"/>
          <w:lang w:val="uk-UA"/>
        </w:rPr>
        <w:t xml:space="preserve"> </w:t>
      </w:r>
      <w:r w:rsidR="00ED14BD" w:rsidRPr="00E45B96">
        <w:rPr>
          <w:rFonts w:eastAsia="SchoolBookC"/>
          <w:sz w:val="28"/>
          <w:szCs w:val="28"/>
          <w:lang w:val="uk-UA"/>
        </w:rPr>
        <w:t xml:space="preserve">сформувати поняття «глобальна економіка», дати уявлення про систему виробництва, </w:t>
      </w:r>
      <w:proofErr w:type="spellStart"/>
      <w:r w:rsidR="00ED14BD" w:rsidRPr="00E45B96">
        <w:rPr>
          <w:rFonts w:eastAsia="SchoolBookC"/>
          <w:sz w:val="28"/>
          <w:szCs w:val="28"/>
          <w:lang w:val="uk-UA"/>
        </w:rPr>
        <w:t>географічність</w:t>
      </w:r>
      <w:proofErr w:type="spellEnd"/>
      <w:r w:rsidR="00ED14BD" w:rsidRPr="00E45B96">
        <w:rPr>
          <w:rFonts w:eastAsia="SchoolBookC"/>
          <w:sz w:val="28"/>
          <w:szCs w:val="28"/>
          <w:lang w:val="uk-UA"/>
        </w:rPr>
        <w:t xml:space="preserve"> міжнародної спеціалізації та кооперування виробництва, сформувати знання про світовий ринок технологій, патентів і ліцензій, інформаційно-технологічних послуг, роль ТНК у та вільних економічних зон у функц</w:t>
      </w:r>
      <w:r w:rsidR="00ED14BD" w:rsidRPr="00E45B96">
        <w:rPr>
          <w:rFonts w:eastAsia="SchoolBookC"/>
          <w:sz w:val="28"/>
          <w:szCs w:val="28"/>
          <w:lang w:val="uk-UA"/>
        </w:rPr>
        <w:t>іонуванні глобальної економіки.</w:t>
      </w:r>
    </w:p>
    <w:p w:rsidR="00B21AE3" w:rsidRPr="00E45B96" w:rsidRDefault="00B21AE3" w:rsidP="00C770D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45B96">
        <w:rPr>
          <w:rFonts w:ascii="Times New Roman" w:hAnsi="Times New Roman"/>
          <w:b/>
          <w:sz w:val="28"/>
          <w:szCs w:val="28"/>
          <w:lang w:val="uk-UA"/>
        </w:rPr>
        <w:t>Опорний конспект для учнів</w:t>
      </w:r>
    </w:p>
    <w:p w:rsidR="00C770D6" w:rsidRPr="00C770D6" w:rsidRDefault="00C770D6" w:rsidP="00C770D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C770D6">
        <w:rPr>
          <w:rFonts w:ascii="Times New Roman" w:eastAsia="SchoolBookC" w:hAnsi="Times New Roman"/>
          <w:sz w:val="28"/>
          <w:szCs w:val="28"/>
          <w:lang w:val="uk-UA"/>
        </w:rPr>
        <w:t>Світове господарство все більше виявляє себе як неподільне глобальне ціле, у якому формуються й розвиваються суперечливі та різноспрямовані тенденції, насамперед глобалізація і водночас регіоналізація економічного життя.</w:t>
      </w:r>
    </w:p>
    <w:p w:rsidR="00C770D6" w:rsidRPr="00C770D6" w:rsidRDefault="00C770D6" w:rsidP="00C770D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C770D6">
        <w:rPr>
          <w:rFonts w:ascii="Times New Roman" w:eastAsia="SchoolBookC" w:hAnsi="Times New Roman"/>
          <w:sz w:val="28"/>
          <w:szCs w:val="28"/>
          <w:lang w:val="uk-UA"/>
        </w:rPr>
        <w:t>Тенденція до глобалізації світового економічного життя проявляється в усе більш вільному переміщенні у світовому економічному просторі товарів і всіх факторів виробництва.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Глобальна економіка включає в себе важливі складові елементи: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■ сферу міжнародного виробництва;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■ світовий ринок і міжнародну торгівлю;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■ міжнародне переміщення чинників виробництва.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Сфера міжнародного виробництва як елемент глобальної економіки викристалізовується нині на основі взаємодії трьох найголовніших процесів: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■ міжнародної спеціалізації та кооперування виробництва;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■ спільної інвестиційної діяльності;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■ спільного підприємництва.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Найвиразніше тут проявляється роль ТНК, спільних підприємств, вільних економічних (експортних) зон тощо. Відносини у сфері міжнародного виробництва визначають зміст, динаміку і структуру господарської взаємодії в інших підсистемах світової економіки. У процесі посилення глобалізації господарського життя органічно поєднуються національні та інтернаціональні форми виробництва. На цій основі розвивається міжнародне (багатонаціональне) виробництво внаслідок взаємодії в єдиному виробничому процесі різноманітних за своїм походженням ресурсів і факторів. Найяскравіше це проявляється в діяльності ТНК, спільних підприємств, при реалізації міжнародних інвестиційних проектів, у межах вільних економічних зон тощо. У цілому на вказані форми міжнародного виробництва тепер припадає від 30 до 50% матеріального, фінансового й технологічного обігу світової економіки.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 xml:space="preserve">Світовий ринок технології (СРТ) — це сукупність міжнародних економічних відносин з приводу прибуткового використання прав власності </w:t>
      </w:r>
      <w:r w:rsidRPr="00E45B96">
        <w:rPr>
          <w:rFonts w:ascii="Times New Roman" w:eastAsia="SchoolBookC" w:hAnsi="Times New Roman"/>
          <w:sz w:val="28"/>
          <w:szCs w:val="28"/>
          <w:lang w:val="uk-UA"/>
        </w:rPr>
        <w:lastRenderedPageBreak/>
        <w:t>на його об'єкти: технології продуктів, процесів та управління.</w:t>
      </w:r>
      <w:r w:rsidRPr="00E45B96">
        <w:rPr>
          <w:sz w:val="28"/>
          <w:szCs w:val="28"/>
          <w:lang w:val="uk-UA"/>
        </w:rPr>
        <w:t xml:space="preserve"> </w:t>
      </w:r>
      <w:r w:rsidRPr="00E45B96">
        <w:rPr>
          <w:rFonts w:ascii="Times New Roman" w:eastAsia="SchoolBookC" w:hAnsi="Times New Roman"/>
          <w:sz w:val="28"/>
          <w:szCs w:val="28"/>
          <w:lang w:val="uk-UA"/>
        </w:rPr>
        <w:t xml:space="preserve">Об'єкти світового ринку технології у </w:t>
      </w:r>
      <w:proofErr w:type="spellStart"/>
      <w:r w:rsidRPr="00E45B96">
        <w:rPr>
          <w:rFonts w:ascii="Times New Roman" w:eastAsia="SchoolBookC" w:hAnsi="Times New Roman"/>
          <w:sz w:val="28"/>
          <w:szCs w:val="28"/>
          <w:lang w:val="uk-UA"/>
        </w:rPr>
        <w:t>неуречевленому</w:t>
      </w:r>
      <w:proofErr w:type="spellEnd"/>
      <w:r w:rsidRPr="00E45B96">
        <w:rPr>
          <w:rFonts w:ascii="Times New Roman" w:eastAsia="SchoolBookC" w:hAnsi="Times New Roman"/>
          <w:sz w:val="28"/>
          <w:szCs w:val="28"/>
          <w:lang w:val="uk-UA"/>
        </w:rPr>
        <w:t xml:space="preserve"> вигляді представлені результатами інтелектуальної, тобто невиробничої, діяльності і є нематеріальними носіями технологій продуктів, процесів та управління. Класифікувати їх за внутрішньою цілісністю можна лише умовно на </w:t>
      </w:r>
      <w:proofErr w:type="spellStart"/>
      <w:r w:rsidRPr="00E45B96">
        <w:rPr>
          <w:rFonts w:ascii="Times New Roman" w:eastAsia="SchoolBookC" w:hAnsi="Times New Roman"/>
          <w:sz w:val="28"/>
          <w:szCs w:val="28"/>
          <w:lang w:val="uk-UA"/>
        </w:rPr>
        <w:t>позаринкові</w:t>
      </w:r>
      <w:proofErr w:type="spellEnd"/>
      <w:r w:rsidRPr="00E45B96">
        <w:rPr>
          <w:rFonts w:ascii="Times New Roman" w:eastAsia="SchoolBookC" w:hAnsi="Times New Roman"/>
          <w:sz w:val="28"/>
          <w:szCs w:val="28"/>
          <w:lang w:val="uk-UA"/>
        </w:rPr>
        <w:t>: інформаційні масиви друкованої спеціальної періодики, довідників, підручників, науково-технічних видань; знання, досвід і навички, що набуваються в ході досліджень і передаються при навчанні, стажуванні, перепідготовці кадрів, а також на дискусійних форумах, виставках, при обміні й міграції вчених і спеціалістів, при здійсненні програм міжнародного технічного сприяння тощо; потенційно ринкові: патенти, "ноу-хау", науково-технічна документація, копірайт, управлінський консалтинг тощо; ринкові: патентні й безпатентні ліцензії, інжиніринг, копірайт, франчайзинг, наукоємні послуги у сферах виробництва, обігу та управління, підготовка персоналу тощо.</w:t>
      </w:r>
    </w:p>
    <w:p w:rsidR="00C770D6" w:rsidRPr="00E45B96" w:rsidRDefault="00C770D6" w:rsidP="00C770D6">
      <w:pPr>
        <w:pStyle w:val="a7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SchoolBookC" w:hAnsi="Times New Roman"/>
          <w:sz w:val="28"/>
          <w:szCs w:val="28"/>
          <w:lang w:val="uk-UA"/>
        </w:rPr>
      </w:pPr>
      <w:r w:rsidRPr="00E45B96">
        <w:rPr>
          <w:rFonts w:ascii="Times New Roman" w:eastAsia="SchoolBookC" w:hAnsi="Times New Roman"/>
          <w:sz w:val="28"/>
          <w:szCs w:val="28"/>
          <w:lang w:val="uk-UA"/>
        </w:rPr>
        <w:t>Географія поширення досягнень НТР є дуже нерівномірною і в основному залежить від науково-технічних потенціалів країн. Так, 9/10 світового обсягу патентів та ліцензій, а також витрат на науково-дослідні та проектно-експериментальні розробки припадає на десять розвинутих країн: США, Японію, Велику Британію, Німеччину, Францію, а також Італію, Нідерланди, Швецію, Швейцарію. Хоча ці країни є основними "постачальниками" технологій на СРТ, більшість із них залишається нетто-імпортерами, їхні платежі за придбані патенти і ліцензії значно перевищують надходження за продаж власних. Позитивне сальдо ліцензійної торгівлі мають протягом останніх десятиріч лише США, Велика Британія та Швеція.</w:t>
      </w:r>
    </w:p>
    <w:p w:rsidR="00C770D6" w:rsidRPr="00E45B96" w:rsidRDefault="00C770D6" w:rsidP="00C770D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21AE3" w:rsidRPr="00E45B96" w:rsidRDefault="00B21AE3" w:rsidP="00C770D6">
      <w:pPr>
        <w:spacing w:after="0" w:line="240" w:lineRule="auto"/>
        <w:ind w:firstLine="567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45B96">
        <w:rPr>
          <w:rFonts w:ascii="Times New Roman" w:hAnsi="Times New Roman"/>
          <w:b/>
          <w:sz w:val="28"/>
          <w:szCs w:val="28"/>
          <w:lang w:val="uk-UA"/>
        </w:rPr>
        <w:t>Домашнє завдання:</w:t>
      </w:r>
    </w:p>
    <w:p w:rsidR="00B21AE3" w:rsidRPr="00E45B96" w:rsidRDefault="00B21AE3" w:rsidP="00C770D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5B96">
        <w:rPr>
          <w:rFonts w:ascii="Times New Roman" w:hAnsi="Times New Roman"/>
          <w:sz w:val="28"/>
          <w:szCs w:val="28"/>
          <w:lang w:val="uk-UA"/>
        </w:rPr>
        <w:t>- Опрацювати § 22</w:t>
      </w:r>
      <w:r w:rsidRPr="00E45B96">
        <w:rPr>
          <w:rFonts w:ascii="Times New Roman" w:hAnsi="Times New Roman"/>
          <w:sz w:val="28"/>
          <w:szCs w:val="28"/>
          <w:lang w:val="uk-UA"/>
        </w:rPr>
        <w:t>.</w:t>
      </w:r>
    </w:p>
    <w:p w:rsidR="00B21AE3" w:rsidRPr="00E45B96" w:rsidRDefault="00B21AE3" w:rsidP="00C770D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E45B96">
        <w:rPr>
          <w:rFonts w:ascii="Times New Roman" w:hAnsi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5" w:history="1">
        <w:r w:rsidR="006E3C4D" w:rsidRPr="00072907">
          <w:rPr>
            <w:rStyle w:val="a5"/>
            <w:rFonts w:ascii="Times New Roman" w:hAnsi="Times New Roman"/>
            <w:sz w:val="28"/>
            <w:szCs w:val="28"/>
            <w:lang w:val="uk-UA"/>
          </w:rPr>
          <w:t>https://www.youtube.com/watch?v=L-ySg1FsnWk</w:t>
        </w:r>
      </w:hyperlink>
      <w:r w:rsidR="006E3C4D">
        <w:rPr>
          <w:rFonts w:ascii="Times New Roman" w:hAnsi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6A3CA1" w:rsidRPr="00E45B96" w:rsidRDefault="006A3CA1" w:rsidP="00C770D6">
      <w:pPr>
        <w:spacing w:after="0" w:line="240" w:lineRule="auto"/>
        <w:rPr>
          <w:sz w:val="28"/>
          <w:szCs w:val="28"/>
          <w:lang w:val="uk-UA"/>
        </w:rPr>
      </w:pPr>
    </w:p>
    <w:sectPr w:rsidR="006A3CA1" w:rsidRPr="00E4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4C"/>
    <w:rsid w:val="006A3CA1"/>
    <w:rsid w:val="006E3C4D"/>
    <w:rsid w:val="00775B4C"/>
    <w:rsid w:val="00B21AE3"/>
    <w:rsid w:val="00C770D6"/>
    <w:rsid w:val="00E45B96"/>
    <w:rsid w:val="00E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A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A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21AE3"/>
    <w:rPr>
      <w:b/>
      <w:bCs/>
    </w:rPr>
  </w:style>
  <w:style w:type="character" w:styleId="a5">
    <w:name w:val="Hyperlink"/>
    <w:uiPriority w:val="99"/>
    <w:unhideWhenUsed/>
    <w:rsid w:val="00B21AE3"/>
    <w:rPr>
      <w:color w:val="0000FF"/>
      <w:u w:val="single"/>
    </w:rPr>
  </w:style>
  <w:style w:type="paragraph" w:styleId="a6">
    <w:name w:val="No Spacing"/>
    <w:uiPriority w:val="1"/>
    <w:qFormat/>
    <w:rsid w:val="00B21AE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C770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A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A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B21AE3"/>
    <w:rPr>
      <w:b/>
      <w:bCs/>
    </w:rPr>
  </w:style>
  <w:style w:type="character" w:styleId="a5">
    <w:name w:val="Hyperlink"/>
    <w:uiPriority w:val="99"/>
    <w:unhideWhenUsed/>
    <w:rsid w:val="00B21AE3"/>
    <w:rPr>
      <w:color w:val="0000FF"/>
      <w:u w:val="single"/>
    </w:rPr>
  </w:style>
  <w:style w:type="paragraph" w:styleId="a6">
    <w:name w:val="No Spacing"/>
    <w:uiPriority w:val="1"/>
    <w:qFormat/>
    <w:rsid w:val="00B21AE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C7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-ySg1FsnW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2022-02-21T14:23:00Z</dcterms:created>
  <dcterms:modified xsi:type="dcterms:W3CDTF">2022-02-21T14:33:00Z</dcterms:modified>
</cp:coreProperties>
</file>