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56F0A">
        <w:rPr>
          <w:rFonts w:ascii="Times New Roman" w:hAnsi="Times New Roman"/>
          <w:sz w:val="28"/>
          <w:szCs w:val="28"/>
          <w:lang w:val="uk-UA"/>
        </w:rPr>
        <w:t>Дата 22.03.2022 р.</w:t>
      </w: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56F0A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56F0A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56F0A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D56F0A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01BC" w:rsidRPr="00D56F0A" w:rsidRDefault="00E201BC" w:rsidP="00507D85">
      <w:pPr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00D56F0A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="00507D85" w:rsidRPr="00D56F0A">
        <w:rPr>
          <w:rFonts w:ascii="Times New Roman" w:hAnsi="Times New Roman"/>
          <w:color w:val="000000"/>
          <w:sz w:val="28"/>
          <w:szCs w:val="28"/>
          <w:lang w:val="uk-UA" w:eastAsia="uk-UA"/>
        </w:rPr>
        <w:t>Сучасна географія виробництва транспортних засобів, електроніки, фармацевтичної продукції,  чинники участі національних економік у глобальних ланцюгах доданої вартості.  Виробництво текстилю, одягу, взуття: сучасна просторова організація, чинники міжнародної спеціалізації</w:t>
      </w:r>
    </w:p>
    <w:p w:rsidR="00507D85" w:rsidRPr="00D56F0A" w:rsidRDefault="00E201BC" w:rsidP="00507D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Мета уроку:</w:t>
      </w:r>
      <w:r w:rsidRPr="00D56F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7D85"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узагальнити знання про виробництво товарів з високою часткою НДДКР ,споживчих товарів, особливості формування міжнародної спеціалізації цього сегмента виробництва.</w:t>
      </w:r>
    </w:p>
    <w:p w:rsidR="00E201BC" w:rsidRPr="00D56F0A" w:rsidRDefault="00E201BC" w:rsidP="00507D85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uk-UA"/>
        </w:rPr>
      </w:pPr>
    </w:p>
    <w:p w:rsidR="00E201BC" w:rsidRPr="00D56F0A" w:rsidRDefault="00E201BC" w:rsidP="00507D8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56F0A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  <w:r w:rsidR="00D56F0A" w:rsidRPr="00D56F0A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 Сучасна географія виробництва транспортних засобів, електроніки, фармацевтичної продукції,чинники участі національних економік у глобальних ланцюгах доданої вартості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Уся названа продукція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має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суттєву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інноваційну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складову. У ланцюгах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доданої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вартості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транспортних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засобів, електроніки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затрати на НДДКР та після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продажний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сервіс — найбільші,але саме тут 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створюється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найбільша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додана вартість, і кількість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гравців у цих сегментах значно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менша, ніж на стадіях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безпосереднього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виробництва продукту. Аналогічна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ситуація й у виробництві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фармацевтичної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продукції. Тільки тут виключено сегмент після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продажного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обслуговування, але суттєвим за витратами й прибутками є сегмент маркетингу та дистрибуції. Відповідно до означених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особливостей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відбувається участь (конкурентоспроможність) національних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економік у створенні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ланцюгів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доданої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вартості. Дані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сегменти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найбільше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вийшли за рамки національних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економік.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Головні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гравці — глобальні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компанії. В зазначених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галузях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частка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іноземної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доданої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вартості у валовому експорті становить близько 40 %. Виробники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регулюють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ланцюги, для яких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характерна вертикальна структура мережі (відповідно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зростає попит на управлінців), заснована на інвестиціях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виробничого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капіталу. Для галузей усе більш дисперсною стає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територіальна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концентрація. Власне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національним (німецька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автівка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, канадський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літак, американський ноутбук) продукт роблять не стадії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безпосереднього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виробництва. Національні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економіки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конкурують за місце в ЛДВ.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У галузі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автомобілебудування (надзвичайно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прибуткове</w:t>
      </w:r>
      <w:r w:rsidR="0027010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виробництво, засноване на постійному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попиті на нові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моделі та після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продажне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обслуговування) за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для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подолання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обмежень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митної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політики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окремих держав (великі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мита, заборона на ввезення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готових авто та ін.) компанії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змінюють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географію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розміщення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виробництв. У країнах з великим попитом викупають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існуючі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занедбані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автопідприємства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чи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будують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нові, де розміщують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великовузлового</w:t>
      </w:r>
      <w:proofErr w:type="spellEnd"/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збирання (у США,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Австралії,Китаї, ПАР, Індії та ін.) чи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окремих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вузлів. Характерне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злиття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компаній.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Авіакосмічна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галузь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має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більшу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територіальну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визначеність. Лідером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залишаються США, суттєвими конкурентами є європейські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компанії. Закріплюють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позиції Канада та Бразилія.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Провідні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позиції у суднобудуванні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займають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Південна Корея та Китай (понад 60 % замовлень) та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Японія (менше 20 %). Зростає попит на судноремонт, де 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Україна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змогла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зайняти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певну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нішу.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Основними конкурентами сучасного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залізничного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машинобудування є канадська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Bombardier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, німецька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Siemens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та французька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Alstom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, до яких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поступово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наближаються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китайські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компанії. Японські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компанії, маючі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найбільш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досконалі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транспортні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системи, працюють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переважно</w:t>
      </w:r>
      <w:r w:rsidR="0091798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 національно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мурівні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, активно конкурують з Китаєм за азіатські ринки.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Виробництво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електроніки є найсучаснішою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галуззю не тільки за технологічними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змінами, а й за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формами функціональної та просторової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організації. Для нього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характерне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посилення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глобалізацій них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процесів; внаслідок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збільшення та поглиблення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напрямів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розробок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посилюється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спеціалізація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фірм та формування ринку сервісних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послуг; активний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розвиток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технополісів і технопарків у країнах, що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розвиваються (Індія, Китай, Бразилія).</w:t>
      </w:r>
    </w:p>
    <w:p w:rsidR="00D56F0A" w:rsidRPr="00D56F0A" w:rsidRDefault="00D56F0A" w:rsidP="005F04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Фармацевтична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галузь активно змінює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бізнес-моделі в межах глобалізації ринку. Активно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з’являються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невеликі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спеціалізовані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гравці, що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надають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сервіси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зокрема й на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аутсорсингових</w:t>
      </w:r>
      <w:proofErr w:type="spellEnd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основах. Це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викликає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зміни в географії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розміщення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галузі. Індія та Китай приєднуються до традиційно</w:t>
      </w:r>
      <w:r w:rsidR="00682E3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«фармацевтичних» економік.</w:t>
      </w:r>
      <w:bookmarkStart w:id="0" w:name="_GoBack"/>
      <w:bookmarkEnd w:id="0"/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 Виробництво текстилю, одягу, взуття: сучасна</w:t>
      </w:r>
      <w:r w:rsidR="007A660F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просторова</w:t>
      </w:r>
      <w:r w:rsidR="007A660F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організація, чинники</w:t>
      </w:r>
      <w:r w:rsidR="007A660F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міжнародної</w:t>
      </w:r>
      <w:r w:rsidR="007A660F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спеціалізації</w:t>
      </w:r>
    </w:p>
    <w:p w:rsidR="00D56F0A" w:rsidRPr="00D56F0A" w:rsidRDefault="00D56F0A" w:rsidP="00D56F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Длялегкоїпромисловостіхарактерневикористанняблизькотретиниімпортованихпроміжнихтоварів для виробництва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експортної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продукції. Головними ланками ланцюгів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доданої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вартості є дизайн і маркетинг. Ланцюги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регулюють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переважно</w:t>
      </w:r>
      <w:r w:rsidR="007A660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покупці (через роздрібні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компанії), тому характерна горизонтальна структура мережі, заснована на торгівлі й торговельному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капіталі. Виробництво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 низькими потребами у капіталі та кваліфікації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трудових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ресурсів, тому головні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гравці — переважно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місцеві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фірми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здебільшого з країн, що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розвиваються, та кілька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брендових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компаній, які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переміщують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виробництва у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країни дешевої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робочої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сили (південноазіатські та латиноамериканські). За даними СОТ, основними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країнами-експортерами текстилю є Китай (10 % світового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експорту), Гонконг,Німеччина, Італія і Південна Корея (по 8 %), Тайвань (7 %), США (6 %). Лідерами в експорті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швейної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D56F0A">
        <w:rPr>
          <w:rFonts w:ascii="Times New Roman" w:eastAsia="Times New Roman" w:hAnsi="Times New Roman"/>
          <w:sz w:val="28"/>
          <w:szCs w:val="28"/>
          <w:lang w:val="uk-UA" w:eastAsia="ru-RU"/>
        </w:rPr>
        <w:t>продукції є Китай (17 %), Гонконг (12 %), Італія (7 %), Туреччина, Мексика, США і Німеччина(по 7 %), Франція, Фінляндія (по 5 %).</w:t>
      </w:r>
    </w:p>
    <w:p w:rsidR="00D56F0A" w:rsidRPr="00D56F0A" w:rsidRDefault="00D56F0A" w:rsidP="00507D8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201BC" w:rsidRPr="00D56F0A" w:rsidRDefault="00E201BC" w:rsidP="00507D85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56F0A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E201BC" w:rsidRPr="00D56F0A" w:rsidRDefault="00E201BC" w:rsidP="00507D8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56F0A">
        <w:rPr>
          <w:rFonts w:ascii="Times New Roman" w:hAnsi="Times New Roman"/>
          <w:sz w:val="28"/>
          <w:szCs w:val="28"/>
          <w:lang w:val="uk-UA"/>
        </w:rPr>
        <w:t>- Опрацювати § 23,24.</w:t>
      </w:r>
    </w:p>
    <w:p w:rsidR="00E201BC" w:rsidRPr="00D56F0A" w:rsidRDefault="00E201BC" w:rsidP="00507D8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56F0A">
        <w:rPr>
          <w:rFonts w:ascii="Times New Roman" w:hAnsi="Times New Roman"/>
          <w:sz w:val="28"/>
          <w:szCs w:val="28"/>
          <w:lang w:val="uk-UA"/>
        </w:rPr>
        <w:lastRenderedPageBreak/>
        <w:t xml:space="preserve">- Переглянути відео урок за посиланням: </w:t>
      </w:r>
      <w:hyperlink r:id="rId5" w:history="1">
        <w:r w:rsidRPr="00D56F0A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https://www.youtube.com/watch?v=Mz_pD3xsFKo</w:t>
        </w:r>
      </w:hyperlink>
      <w:r w:rsidRPr="00D56F0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01BC" w:rsidRPr="00D56F0A" w:rsidRDefault="00E201BC" w:rsidP="00507D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17B81" w:rsidRPr="00D56F0A" w:rsidRDefault="00E17B81" w:rsidP="00507D85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E17B81" w:rsidRPr="00D5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52"/>
    <w:rsid w:val="00270102"/>
    <w:rsid w:val="00507D85"/>
    <w:rsid w:val="005F040A"/>
    <w:rsid w:val="00682E3E"/>
    <w:rsid w:val="007A660F"/>
    <w:rsid w:val="007E5452"/>
    <w:rsid w:val="00917986"/>
    <w:rsid w:val="00D56F0A"/>
    <w:rsid w:val="00E17B81"/>
    <w:rsid w:val="00E2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B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1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E201BC"/>
    <w:rPr>
      <w:b/>
      <w:bCs/>
    </w:rPr>
  </w:style>
  <w:style w:type="character" w:styleId="a5">
    <w:name w:val="Hyperlink"/>
    <w:uiPriority w:val="99"/>
    <w:unhideWhenUsed/>
    <w:rsid w:val="00E201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20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B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1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E201BC"/>
    <w:rPr>
      <w:b/>
      <w:bCs/>
    </w:rPr>
  </w:style>
  <w:style w:type="character" w:styleId="a5">
    <w:name w:val="Hyperlink"/>
    <w:uiPriority w:val="99"/>
    <w:unhideWhenUsed/>
    <w:rsid w:val="00E201B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2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z_pD3xsF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7</cp:revision>
  <dcterms:created xsi:type="dcterms:W3CDTF">2022-03-20T09:21:00Z</dcterms:created>
  <dcterms:modified xsi:type="dcterms:W3CDTF">2022-03-21T08:49:00Z</dcterms:modified>
</cp:coreProperties>
</file>