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02" w:rsidRPr="00AF5102" w:rsidRDefault="00AE71AB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r>
        <w:rPr>
          <w:rFonts w:eastAsia="Times New Roman"/>
          <w:bCs/>
          <w:kern w:val="2"/>
          <w:sz w:val="28"/>
          <w:szCs w:val="28"/>
          <w:lang w:eastAsia="uk-UA"/>
        </w:rPr>
        <w:t>09</w:t>
      </w:r>
      <w:bookmarkStart w:id="0" w:name="_GoBack"/>
      <w:bookmarkEnd w:id="0"/>
      <w:r w:rsidR="00AF5102" w:rsidRPr="00AF5102">
        <w:rPr>
          <w:rFonts w:eastAsia="Times New Roman"/>
          <w:bCs/>
          <w:kern w:val="2"/>
          <w:sz w:val="28"/>
          <w:szCs w:val="28"/>
          <w:lang w:eastAsia="uk-UA"/>
        </w:rPr>
        <w:t>.11.2021</w:t>
      </w:r>
    </w:p>
    <w:p w:rsidR="00AF5102" w:rsidRPr="00AF5102" w:rsidRDefault="00AF5102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11 клас </w:t>
      </w:r>
    </w:p>
    <w:p w:rsidR="00AF5102" w:rsidRPr="00AF5102" w:rsidRDefault="00AF5102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Література</w:t>
      </w:r>
    </w:p>
    <w:p w:rsidR="00AF5102" w:rsidRPr="00AF5102" w:rsidRDefault="00AF5102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Стрембицька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 Л.А.</w:t>
      </w:r>
    </w:p>
    <w:p w:rsidR="00AF5102" w:rsidRPr="00AF5102" w:rsidRDefault="00AF5102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КОНТРОЛЬНА РОБОТА </w:t>
      </w:r>
    </w:p>
    <w:p w:rsidR="00AF5102" w:rsidRPr="00AF5102" w:rsidRDefault="00AF5102" w:rsidP="00AF5102">
      <w:pPr>
        <w:spacing w:after="0" w:line="240" w:lineRule="auto"/>
        <w:rPr>
          <w:rFonts w:eastAsia="Times New Roman"/>
          <w:bCs/>
          <w:i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 xml:space="preserve">Творчість </w:t>
      </w:r>
      <w:r w:rsidRPr="00AF5102">
        <w:rPr>
          <w:i/>
          <w:sz w:val="28"/>
          <w:szCs w:val="28"/>
        </w:rPr>
        <w:t xml:space="preserve">Є. Плужника, Є. Маланюка, В. </w:t>
      </w:r>
      <w:proofErr w:type="spellStart"/>
      <w:r w:rsidRPr="00AF5102">
        <w:rPr>
          <w:i/>
          <w:sz w:val="28"/>
          <w:szCs w:val="28"/>
        </w:rPr>
        <w:t>Домонтовича</w:t>
      </w:r>
      <w:proofErr w:type="spellEnd"/>
      <w:r w:rsidRPr="00AF5102">
        <w:rPr>
          <w:i/>
          <w:sz w:val="28"/>
          <w:szCs w:val="28"/>
        </w:rPr>
        <w:t>, М. Хвильового</w:t>
      </w:r>
    </w:p>
    <w:p w:rsidR="00AF5102" w:rsidRPr="00AF5102" w:rsidRDefault="00AF5102" w:rsidP="00AF5102">
      <w:pPr>
        <w:spacing w:after="0" w:line="240" w:lineRule="auto"/>
        <w:jc w:val="center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Тестування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Укажіть літературний напрям кінця ХІХ – початку ХХ століття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А модернізм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соцреалізм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постмодернізм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романтизм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Кантемиряном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 називали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А Є. Плужника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Є. Маланюка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В В.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Домонтовича</w:t>
      </w:r>
      <w:proofErr w:type="spellEnd"/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М. Хвильового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Укажіть письменників «Празької школи»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 xml:space="preserve">А Олег Ольжич, Ю.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Дараган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 xml:space="preserve">, Є. Маланюк, Н.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Лівіцька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-Холодна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І. Сенченко, П. Панч, А. Головко, Н. Забіла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Б. Антоненко-Давидович, В. Підмогильний, М. Івченко, Є. Плужник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Г У.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Самчук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, Іван Багряний, О. Теліга, Д. Гуменна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Укажіть літературне угрупування, до якого належав Микола Хвильовий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А «Плуг»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«Гарт»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МАРС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Г ВАПЛІТЕ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Пригадайте , проти чого виступав М. Хвильовий у літературній дискусії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А непрофесіоналізму й «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масовізму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» в літературі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перекладацької роботи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засвоєння досвіду всесвітнього письменства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«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двоколійності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» літературного процесу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Згадайте, про кого Я (Микола Хвильовий «Я (Романтика)») зазначав:</w:t>
      </w:r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 xml:space="preserve"> «Це сторожі моєї душі»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А про доктора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Тагабата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 й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Андрюшу</w:t>
      </w:r>
      <w:proofErr w:type="spellEnd"/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 xml:space="preserve">Б про дегенерата й доктора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Тагабата</w:t>
      </w:r>
      <w:proofErr w:type="spellEnd"/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В про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Андрюшу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 й матір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про Й. Сталіна і його прибічників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Визначте художні засоби, використані в реченні </w:t>
      </w:r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 xml:space="preserve">Таємні вершники летять, ритмічно похитуючись, до </w:t>
      </w:r>
      <w:proofErr w:type="spellStart"/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>отрогів</w:t>
      </w:r>
      <w:proofErr w:type="spellEnd"/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>, і гасне день; біжить у могилах дорога, а за нею – мовчазний степ...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А метафора, епітет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Б гіпербола, порівняння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тавтологія, метонімія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оксиморон, антитеза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За мотивами якого твору було поставлено на сцені виставу 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noProof/>
          <w:kern w:val="2"/>
          <w:sz w:val="28"/>
          <w:szCs w:val="28"/>
          <w:lang w:eastAsia="uk-UA"/>
        </w:rPr>
        <w:lastRenderedPageBreak/>
        <w:drawing>
          <wp:inline distT="0" distB="0" distL="0" distR="0" wp14:anchorId="40FC2A71" wp14:editId="24F50C0E">
            <wp:extent cx="2052021" cy="1506071"/>
            <wp:effectExtent l="19050" t="0" r="5379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108" t="35517" r="51362" b="35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21" cy="150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102" w:rsidRPr="00AF5102" w:rsidRDefault="00AF5102" w:rsidP="00AF5102">
      <w:pPr>
        <w:pStyle w:val="a3"/>
        <w:spacing w:after="0" w:line="240" w:lineRule="auto"/>
        <w:jc w:val="both"/>
        <w:rPr>
          <w:sz w:val="28"/>
          <w:szCs w:val="28"/>
        </w:rPr>
      </w:pPr>
      <w:r w:rsidRPr="00AF5102">
        <w:rPr>
          <w:sz w:val="28"/>
          <w:szCs w:val="28"/>
        </w:rPr>
        <w:t>А «Я (Романтика)»</w:t>
      </w:r>
    </w:p>
    <w:p w:rsidR="00AF5102" w:rsidRPr="00AF5102" w:rsidRDefault="00AF5102" w:rsidP="00AF5102">
      <w:pPr>
        <w:pStyle w:val="a3"/>
        <w:spacing w:after="0" w:line="240" w:lineRule="auto"/>
        <w:jc w:val="both"/>
        <w:rPr>
          <w:sz w:val="28"/>
          <w:szCs w:val="28"/>
        </w:rPr>
      </w:pPr>
      <w:r w:rsidRPr="00AF5102">
        <w:rPr>
          <w:sz w:val="28"/>
          <w:szCs w:val="28"/>
          <w:highlight w:val="yellow"/>
        </w:rPr>
        <w:t>Б «Дівчина з ведмедиком»</w:t>
      </w:r>
    </w:p>
    <w:p w:rsidR="00AF5102" w:rsidRPr="00AF5102" w:rsidRDefault="00AF5102" w:rsidP="00AF5102">
      <w:pPr>
        <w:pStyle w:val="a3"/>
        <w:spacing w:after="0" w:line="240" w:lineRule="auto"/>
        <w:jc w:val="both"/>
        <w:rPr>
          <w:sz w:val="28"/>
          <w:szCs w:val="28"/>
        </w:rPr>
      </w:pPr>
      <w:r w:rsidRPr="00AF5102">
        <w:rPr>
          <w:sz w:val="28"/>
          <w:szCs w:val="28"/>
        </w:rPr>
        <w:t>В «Кіт у чоботях»</w:t>
      </w:r>
    </w:p>
    <w:p w:rsidR="00AF5102" w:rsidRPr="00AF5102" w:rsidRDefault="00AF5102" w:rsidP="00AF5102">
      <w:pPr>
        <w:pStyle w:val="a3"/>
        <w:spacing w:after="0" w:line="240" w:lineRule="auto"/>
        <w:jc w:val="both"/>
        <w:rPr>
          <w:sz w:val="28"/>
          <w:szCs w:val="28"/>
        </w:rPr>
      </w:pPr>
      <w:r w:rsidRPr="00AF5102">
        <w:rPr>
          <w:sz w:val="28"/>
          <w:szCs w:val="28"/>
        </w:rPr>
        <w:t>Г «</w:t>
      </w:r>
      <w:proofErr w:type="spellStart"/>
      <w:r w:rsidRPr="00AF5102">
        <w:rPr>
          <w:sz w:val="28"/>
          <w:szCs w:val="28"/>
        </w:rPr>
        <w:t>Малоросійство</w:t>
      </w:r>
      <w:proofErr w:type="spellEnd"/>
      <w:r w:rsidRPr="00AF5102">
        <w:rPr>
          <w:sz w:val="28"/>
          <w:szCs w:val="28"/>
        </w:rPr>
        <w:t>»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i/>
          <w:kern w:val="2"/>
          <w:sz w:val="28"/>
          <w:szCs w:val="28"/>
          <w:lang w:eastAsia="uk-UA"/>
        </w:rPr>
      </w:pPr>
      <w:r w:rsidRPr="00AF5102">
        <w:rPr>
          <w:sz w:val="28"/>
          <w:szCs w:val="28"/>
        </w:rPr>
        <w:t>Автором творів «Дівчина з ведмедиком», «Аліна й Костомаров», «Романи Куліша» є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>А М. Хвильовий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  <w:highlight w:val="yellow"/>
        </w:rPr>
        <w:t xml:space="preserve">Б В. </w:t>
      </w:r>
      <w:proofErr w:type="spellStart"/>
      <w:r w:rsidRPr="00AF5102">
        <w:rPr>
          <w:sz w:val="28"/>
          <w:szCs w:val="28"/>
          <w:highlight w:val="yellow"/>
        </w:rPr>
        <w:t>Домонтович</w:t>
      </w:r>
      <w:proofErr w:type="spellEnd"/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>В Є. Маланюк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>Г Є. Плужник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>Назвіть ім’я «товариша Жучка»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  <w:sectPr w:rsidR="00AF5102" w:rsidRPr="00AF5102" w:rsidSect="005F5AAA">
          <w:pgSz w:w="11906" w:h="16838"/>
          <w:pgMar w:top="426" w:right="282" w:bottom="284" w:left="426" w:header="708" w:footer="708" w:gutter="0"/>
          <w:cols w:space="708"/>
          <w:docGrid w:linePitch="360"/>
        </w:sectPr>
      </w:pP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lastRenderedPageBreak/>
        <w:t>А Галина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>Б Килина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  <w:highlight w:val="yellow"/>
        </w:rPr>
        <w:lastRenderedPageBreak/>
        <w:t>В Гапка</w:t>
      </w:r>
    </w:p>
    <w:p w:rsidR="00AF5102" w:rsidRPr="00AF5102" w:rsidRDefault="00AF5102" w:rsidP="00AF5102">
      <w:pPr>
        <w:pStyle w:val="a3"/>
        <w:spacing w:after="0" w:line="240" w:lineRule="auto"/>
        <w:rPr>
          <w:sz w:val="28"/>
          <w:szCs w:val="28"/>
        </w:rPr>
      </w:pPr>
      <w:r w:rsidRPr="00AF5102">
        <w:rPr>
          <w:sz w:val="28"/>
          <w:szCs w:val="28"/>
        </w:rPr>
        <w:t xml:space="preserve">Г Химка 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  <w:sectPr w:rsidR="00AF5102" w:rsidRPr="00AF5102" w:rsidSect="00F93C1E">
          <w:type w:val="continuous"/>
          <w:pgSz w:w="11906" w:h="16838"/>
          <w:pgMar w:top="426" w:right="282" w:bottom="284" w:left="426" w:header="708" w:footer="708" w:gutter="0"/>
          <w:cols w:num="2" w:space="708"/>
          <w:docGrid w:linePitch="360"/>
        </w:sectPr>
      </w:pP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lastRenderedPageBreak/>
        <w:t xml:space="preserve">Укажіть ознаки «романтики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вітаїзму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» </w:t>
      </w:r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>(дві відповіді)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А проголошення концептуального розриву між ідеалом і дійсністю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Б віра у всесвітню місію пролетаріату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В документальна достовірність у зображенні дійсності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Г поєднання ідеї соціального й національного визволення</w:t>
      </w:r>
    </w:p>
    <w:p w:rsidR="00AF5102" w:rsidRPr="00AF5102" w:rsidRDefault="00AF5102" w:rsidP="00AF5102">
      <w:pPr>
        <w:pStyle w:val="a3"/>
        <w:numPr>
          <w:ilvl w:val="0"/>
          <w:numId w:val="1"/>
        </w:numPr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Укажіть, якими словами передано характеристику «чорного трибуналу» у новелі Миколи Хвильового «Я (Романтика)» </w:t>
      </w:r>
      <w:r w:rsidRPr="00AF5102">
        <w:rPr>
          <w:rFonts w:eastAsia="Times New Roman"/>
          <w:bCs/>
          <w:i/>
          <w:kern w:val="2"/>
          <w:sz w:val="28"/>
          <w:szCs w:val="28"/>
          <w:lang w:eastAsia="uk-UA"/>
        </w:rPr>
        <w:t>(дві відповіді)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А «...бандит – за одною термінологією...»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highlight w:val="yellow"/>
          <w:lang w:eastAsia="uk-UA"/>
        </w:rPr>
        <w:t>Б «...бенкет дикої країни»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 xml:space="preserve">В «...майже невинний обивательський </w:t>
      </w:r>
      <w:proofErr w:type="spellStart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хлам</w:t>
      </w:r>
      <w:proofErr w:type="spellEnd"/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...»</w:t>
      </w:r>
    </w:p>
    <w:p w:rsidR="00AF5102" w:rsidRPr="00AF5102" w:rsidRDefault="00AF5102" w:rsidP="00AF5102">
      <w:pPr>
        <w:pStyle w:val="a3"/>
        <w:spacing w:after="0" w:line="240" w:lineRule="auto"/>
        <w:rPr>
          <w:rFonts w:eastAsia="Times New Roman"/>
          <w:bCs/>
          <w:kern w:val="2"/>
          <w:sz w:val="28"/>
          <w:szCs w:val="28"/>
          <w:lang w:eastAsia="uk-UA"/>
        </w:rPr>
      </w:pPr>
      <w:r w:rsidRPr="00AF5102">
        <w:rPr>
          <w:rFonts w:eastAsia="Times New Roman"/>
          <w:bCs/>
          <w:kern w:val="2"/>
          <w:sz w:val="28"/>
          <w:szCs w:val="28"/>
          <w:lang w:eastAsia="uk-UA"/>
        </w:rPr>
        <w:t>Г «...тиша й мовчазний передзвін сердець...»</w:t>
      </w:r>
    </w:p>
    <w:p w:rsidR="00771D48" w:rsidRPr="00AF5102" w:rsidRDefault="00AE71AB">
      <w:pPr>
        <w:rPr>
          <w:sz w:val="28"/>
          <w:szCs w:val="28"/>
        </w:rPr>
      </w:pPr>
    </w:p>
    <w:sectPr w:rsidR="00771D48" w:rsidRPr="00AF5102" w:rsidSect="00F93C1E">
      <w:type w:val="continuous"/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76A"/>
    <w:multiLevelType w:val="hybridMultilevel"/>
    <w:tmpl w:val="83A28132"/>
    <w:lvl w:ilvl="0" w:tplc="E31C56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6421F"/>
    <w:multiLevelType w:val="hybridMultilevel"/>
    <w:tmpl w:val="D7627300"/>
    <w:lvl w:ilvl="0" w:tplc="6904246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027ED"/>
    <w:multiLevelType w:val="hybridMultilevel"/>
    <w:tmpl w:val="F682618E"/>
    <w:lvl w:ilvl="0" w:tplc="17CA09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D0E75"/>
    <w:multiLevelType w:val="hybridMultilevel"/>
    <w:tmpl w:val="B06A6708"/>
    <w:lvl w:ilvl="0" w:tplc="0AFA6B7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6"/>
    <w:rsid w:val="00062D96"/>
    <w:rsid w:val="002168C7"/>
    <w:rsid w:val="0025455F"/>
    <w:rsid w:val="0027403F"/>
    <w:rsid w:val="00A53AA6"/>
    <w:rsid w:val="00AE71AB"/>
    <w:rsid w:val="00AF5102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7049E-E61E-42CD-AACC-0C066A9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102"/>
    <w:pPr>
      <w:spacing w:after="200" w:line="276" w:lineRule="auto"/>
    </w:pPr>
    <w:rPr>
      <w:rFonts w:ascii="Times New Roman" w:hAnsi="Times New Roman" w:cs="Times New Roman"/>
      <w:kern w:val="1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1461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2021-10-28T08:24:00Z</dcterms:created>
  <dcterms:modified xsi:type="dcterms:W3CDTF">2021-11-05T12:02:00Z</dcterms:modified>
</cp:coreProperties>
</file>