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  <w:gridCol w:w="45"/>
      </w:tblGrid>
      <w:tr w:rsidR="00EF61C1" w:rsidRPr="00EF61C1" w:rsidTr="00EF61C1">
        <w:trPr>
          <w:gridAfter w:val="1"/>
          <w:tblCellSpacing w:w="15" w:type="dxa"/>
        </w:trPr>
        <w:tc>
          <w:tcPr>
            <w:tcW w:w="9675" w:type="dxa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80"/>
              <w:gridCol w:w="66"/>
              <w:gridCol w:w="780"/>
              <w:gridCol w:w="81"/>
            </w:tblGrid>
            <w:tr w:rsidR="00EF61C1" w:rsidRPr="00EF61C1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</w:tcPr>
                <w:p w:rsidR="00EF61C1" w:rsidRPr="00EF61C1" w:rsidRDefault="00EF61C1" w:rsidP="00EF61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val="uk-UA" w:eastAsia="uk-UA"/>
                    </w:rPr>
                  </w:pPr>
                </w:p>
              </w:tc>
              <w:tc>
                <w:tcPr>
                  <w:tcW w:w="750" w:type="dxa"/>
                  <w:vAlign w:val="center"/>
                </w:tcPr>
                <w:p w:rsidR="00EF61C1" w:rsidRPr="00EF61C1" w:rsidRDefault="00EF61C1" w:rsidP="00EF61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 w:eastAsia="uk-U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EF61C1" w:rsidRPr="00EF61C1" w:rsidRDefault="00EF61C1" w:rsidP="00EF61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val="uk-UA" w:eastAsia="uk-UA"/>
                    </w:rPr>
                  </w:pPr>
                </w:p>
              </w:tc>
              <w:tc>
                <w:tcPr>
                  <w:tcW w:w="750" w:type="dxa"/>
                  <w:vAlign w:val="center"/>
                </w:tcPr>
                <w:p w:rsidR="00EF61C1" w:rsidRPr="00EF61C1" w:rsidRDefault="00EF61C1" w:rsidP="00EF61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 w:eastAsia="uk-U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EF61C1" w:rsidRPr="00EF61C1" w:rsidRDefault="00EF61C1" w:rsidP="00EF61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val="uk-UA" w:eastAsia="uk-UA"/>
                    </w:rPr>
                  </w:pPr>
                </w:p>
              </w:tc>
            </w:tr>
          </w:tbl>
          <w:p w:rsidR="00EF61C1" w:rsidRPr="00EF61C1" w:rsidRDefault="00A7459C" w:rsidP="00EF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09</w:t>
            </w:r>
            <w:bookmarkStart w:id="0" w:name="_GoBack"/>
            <w:bookmarkEnd w:id="0"/>
            <w:r w:rsidR="00EF61C1" w:rsidRPr="00EF61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.11.2021</w:t>
            </w:r>
          </w:p>
          <w:p w:rsidR="00EF61C1" w:rsidRPr="00EF61C1" w:rsidRDefault="00EF61C1" w:rsidP="00EF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EF61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Стрембицька</w:t>
            </w:r>
            <w:proofErr w:type="spellEnd"/>
            <w:r w:rsidRPr="00EF61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Л.А.</w:t>
            </w:r>
          </w:p>
          <w:p w:rsidR="00EF61C1" w:rsidRPr="00EF61C1" w:rsidRDefault="00EF61C1" w:rsidP="00EF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F61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11 клас</w:t>
            </w:r>
          </w:p>
          <w:p w:rsidR="00EF61C1" w:rsidRPr="00EF61C1" w:rsidRDefault="00EF61C1" w:rsidP="00EF6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F61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Мова</w:t>
            </w:r>
          </w:p>
        </w:tc>
      </w:tr>
      <w:tr w:rsidR="00EF61C1" w:rsidRPr="00EF61C1" w:rsidTr="00EF61C1">
        <w:trPr>
          <w:tblCellSpacing w:w="15" w:type="dxa"/>
        </w:trPr>
        <w:tc>
          <w:tcPr>
            <w:tcW w:w="0" w:type="auto"/>
            <w:gridSpan w:val="2"/>
            <w:hideMark/>
          </w:tcPr>
          <w:p w:rsidR="00EF61C1" w:rsidRPr="00EF61C1" w:rsidRDefault="00EF61C1" w:rsidP="00EF61C1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uk-UA" w:eastAsia="uk-UA"/>
              </w:rPr>
            </w:pPr>
            <w:r w:rsidRPr="00EF61C1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uk-UA" w:eastAsia="uk-UA"/>
              </w:rPr>
              <w:t>Суспільно-побутове красномовство</w:t>
            </w:r>
          </w:p>
          <w:p w:rsidR="00EF61C1" w:rsidRPr="00EF61C1" w:rsidRDefault="00EF61C1" w:rsidP="00EF61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F61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Суспільно-побутове красномовство "обслуговує" різноманітні життєві побутові події і ситуації: народження, одруження, вітання, ювілеї, зустрічі, прощання тощо. Соціально-побутове красномовство має виразно окреслений національний характер, воно зберігає і продовжує традиції та звичаї народу. Родини, хрестини, сватання, заручини, одруження, ювілеї, віншування й привітання зі святами та пам'ятними подіями і датами завжди супроводжуються красномовними звертаннями, вітальними промовами, тостами й побажаннями, примовками тощо. Тому суспільно-побутове красномовство має масовий характер і помітний вплив на культуру живої народної мови. На жаль, українське суспільно-побутове красномовство недостатньо досліджене, бо воно народжується і </w:t>
            </w:r>
            <w:proofErr w:type="spellStart"/>
            <w:r w:rsidRPr="00EF61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зникас</w:t>
            </w:r>
            <w:proofErr w:type="spellEnd"/>
            <w:r w:rsidRPr="00EF61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 усному мовленні. Проте окремі перлини можна зібрати з фольклорних записів, спогадів письменників, літературних текстів. Красномовними оповідачами були Остап Вишня, Максим Рильський, Олександр Довженко, Василь Сухомлинський, Олександр • Ковінька, Юрій Смолич та багато інших.</w:t>
            </w:r>
          </w:p>
        </w:tc>
      </w:tr>
    </w:tbl>
    <w:p w:rsidR="00771D48" w:rsidRPr="00EF61C1" w:rsidRDefault="00EF61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F61C1">
        <w:rPr>
          <w:rFonts w:ascii="Times New Roman" w:hAnsi="Times New Roman" w:cs="Times New Roman"/>
          <w:b/>
          <w:sz w:val="28"/>
          <w:szCs w:val="28"/>
          <w:lang w:val="uk-UA"/>
        </w:rPr>
        <w:t>Домашеє</w:t>
      </w:r>
      <w:proofErr w:type="spellEnd"/>
      <w:r w:rsidRPr="00EF61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:</w:t>
      </w:r>
    </w:p>
    <w:p w:rsidR="00EF61C1" w:rsidRPr="00EF61C1" w:rsidRDefault="00EF61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61C1">
        <w:rPr>
          <w:rFonts w:ascii="Times New Roman" w:hAnsi="Times New Roman" w:cs="Times New Roman"/>
          <w:b/>
          <w:sz w:val="28"/>
          <w:szCs w:val="28"/>
          <w:lang w:val="uk-UA"/>
        </w:rPr>
        <w:t>Робота з тестами ЗНО</w:t>
      </w:r>
    </w:p>
    <w:sectPr w:rsidR="00EF61C1" w:rsidRPr="00EF6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DA"/>
    <w:rsid w:val="00062D96"/>
    <w:rsid w:val="002168C7"/>
    <w:rsid w:val="0025455F"/>
    <w:rsid w:val="0027403F"/>
    <w:rsid w:val="00A7459C"/>
    <w:rsid w:val="00EC2DA3"/>
    <w:rsid w:val="00EF61C1"/>
    <w:rsid w:val="00F6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CB6A7-CB9F-471D-93AB-8A0E9745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726</Words>
  <Characters>415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2021-10-28T08:14:00Z</dcterms:created>
  <dcterms:modified xsi:type="dcterms:W3CDTF">2021-11-05T12:02:00Z</dcterms:modified>
</cp:coreProperties>
</file>