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17.11.21 р.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Критичне оцінювання інформації, отриманої з Інтернету. Використання мережі  Інтернет для навчання.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Ти знаєш, що, шукаючи потрібні дані 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Інтернеті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, можна потрапити в небезпечну ситуацію: повірити неправдивій рекламі, знайти некоректне зображення, скористатися неперевіреними даними. Щоб уникнути цього, потрібно навчитися критично оцінювати знайдені в Інтернеті дані та дотримуватися правил безпечної поведінки.</w:t>
      </w:r>
    </w:p>
    <w:p w:rsidR="00000000" w:rsidDel="00000000" w:rsidP="00000000" w:rsidRDefault="00000000" w:rsidRPr="00000000" w14:paraId="00000005">
      <w:pPr>
        <w:shd w:fill="ffffff" w:val="clear"/>
        <w:spacing w:after="120" w:before="24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Для того щоб перевірити достовірність інформації в Інтернеті, треба дотримуватись таких рекомендацій: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0" distT="0" distL="0" distR="0">
            <wp:extent cx="4898006" cy="2760453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8394" r="9124" t="25582"/>
                    <a:stretch>
                      <a:fillRect/>
                    </a:stretch>
                  </pic:blipFill>
                  <pic:spPr>
                    <a:xfrm>
                      <a:off x="0" y="0"/>
                      <a:ext cx="4898006" cy="2760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Корисно знати:</w:t>
      </w:r>
    </w:p>
    <w:tbl>
      <w:tblPr>
        <w:tblStyle w:val="Table1"/>
        <w:tblW w:w="957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8"/>
        <w:gridCol w:w="7723"/>
        <w:tblGridChange w:id="0">
          <w:tblGrid>
            <w:gridCol w:w="1848"/>
            <w:gridCol w:w="77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00b05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  <w:rtl w:val="0"/>
              </w:rPr>
              <w:t xml:space="preserve">Фейк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hd w:fill="ffffff" w:val="clea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 — підробляти, шахраювати. Означає підробку, вигадку, щось несправжнє. Часто вживається в інформаційній сфері, коли йдеться про новини тощо.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  <w:rtl w:val="0"/>
              </w:rPr>
              <w:t xml:space="preserve">Фíшинг</w:t>
            </w:r>
          </w:p>
        </w:tc>
        <w:tc>
          <w:tcPr/>
          <w:p w:rsidR="00000000" w:rsidDel="00000000" w:rsidP="00000000" w:rsidRDefault="00000000" w:rsidRPr="00000000" w14:paraId="0000000B">
            <w:pPr>
              <w:shd w:fill="ffffff" w:val="clea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— вид шахрайства, метою якого є виманювання у довірливих або неуважних користувачів мережі персональних даних клієнтів онлайнових аукціонів, сервісів з переказу або обміну валюти, інтернет-магазинів.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  <w:rtl w:val="0"/>
              </w:rPr>
              <w:t xml:space="preserve">Комп’ютерний вірус </w:t>
            </w:r>
          </w:p>
        </w:tc>
        <w:tc>
          <w:tcPr/>
          <w:p w:rsidR="00000000" w:rsidDel="00000000" w:rsidP="00000000" w:rsidRDefault="00000000" w:rsidRPr="00000000" w14:paraId="0000000D">
            <w:pPr>
              <w:shd w:fill="ffffff" w:val="clea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— це комп’ютерна програма, яка має здатність до прихованого самопоширення.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  <w:rtl w:val="0"/>
              </w:rPr>
              <w:t xml:space="preserve">Хакерство</w:t>
            </w:r>
          </w:p>
        </w:tc>
        <w:tc>
          <w:tcPr/>
          <w:p w:rsidR="00000000" w:rsidDel="00000000" w:rsidP="00000000" w:rsidRDefault="00000000" w:rsidRPr="00000000" w14:paraId="0000000F">
            <w:pPr>
              <w:shd w:fill="ffffff" w:val="clea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— отримання несанкціонованого доступу до комп’ютерних систем, як правило, із метою отримання секретної інформації.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  <w:rtl w:val="0"/>
              </w:rPr>
              <w:t xml:space="preserve">Спам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hd w:fill="ffffff" w:val="clea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— примусова масова розсилка кореспонденції рекламного чи іншого характеру.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  <w:rtl w:val="0"/>
              </w:rPr>
              <w:t xml:space="preserve">Булінг</w:t>
            </w:r>
          </w:p>
        </w:tc>
        <w:tc>
          <w:tcPr/>
          <w:p w:rsidR="00000000" w:rsidDel="00000000" w:rsidP="00000000" w:rsidRDefault="00000000" w:rsidRPr="00000000" w14:paraId="00000013">
            <w:pPr>
              <w:shd w:fill="ffffff" w:val="clea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— це агресивна і вкрай неприємна поведінка однієї дитини або групи дітей по відношенню до іншої дитини, що супроводжується постійним фізичним і психологічним впливом.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7030a0"/>
                <w:sz w:val="24"/>
                <w:szCs w:val="24"/>
                <w:highlight w:val="white"/>
                <w:rtl w:val="0"/>
              </w:rPr>
              <w:t xml:space="preserve">Кібербулінг</w:t>
            </w:r>
          </w:p>
        </w:tc>
        <w:tc>
          <w:tcPr/>
          <w:p w:rsidR="00000000" w:rsidDel="00000000" w:rsidP="00000000" w:rsidRDefault="00000000" w:rsidRPr="00000000" w14:paraId="00000015">
            <w:pPr>
              <w:shd w:fill="ffffff" w:val="clear"/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highlight w:val="white"/>
                <w:rtl w:val="0"/>
              </w:rPr>
              <w:t xml:space="preserve">— це булінг із застосуванням цифрових технологій.</w:t>
            </w:r>
          </w:p>
        </w:tc>
      </w:tr>
    </w:tbl>
    <w:p w:rsidR="00000000" w:rsidDel="00000000" w:rsidP="00000000" w:rsidRDefault="00000000" w:rsidRPr="00000000" w14:paraId="0000001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Інтернет для навчання:</w:t>
      </w:r>
    </w:p>
    <w:p w:rsidR="00000000" w:rsidDel="00000000" w:rsidP="00000000" w:rsidRDefault="00000000" w:rsidRPr="00000000" w14:paraId="00000017">
      <w:pPr>
        <w:shd w:fill="ffffff" w:val="clear"/>
        <w:spacing w:after="0" w:before="120" w:line="240" w:lineRule="auto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У даний час всесвітня мережа Інтернет є сховищем невичерпних інформаційних ресурсів. У сфері освіти Інтернет пропонує широкий спектр енциклопедичних відомостей, освітніх і розвиваючих програм, програм дистанційного навчання, інтерактивних моделей, різноманітних тестів. </w:t>
      </w:r>
    </w:p>
    <w:p w:rsidR="00000000" w:rsidDel="00000000" w:rsidP="00000000" w:rsidRDefault="00000000" w:rsidRPr="00000000" w14:paraId="00000018">
      <w:pPr>
        <w:shd w:fill="ffffff" w:val="clear"/>
        <w:spacing w:after="0" w:before="120" w:line="240" w:lineRule="auto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  <w:drawing>
          <wp:inline distB="0" distT="0" distL="0" distR="0">
            <wp:extent cx="3862837" cy="2250095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5349" l="8710" r="11048" t="9767"/>
                    <a:stretch>
                      <a:fillRect/>
                    </a:stretch>
                  </pic:blipFill>
                  <pic:spPr>
                    <a:xfrm>
                      <a:off x="0" y="0"/>
                      <a:ext cx="3862837" cy="225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120" w:line="240" w:lineRule="auto"/>
        <w:ind w:hanging="284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Для допомоги у вивченні окремих предметів розроблено сайти, які містять добірки матеріалів з предмета: навчальні тексти, презентації, відео, завдання для практичного виконання. Наприклад, вивченню шкільних предметів присвячено такі 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8"/>
          <w:szCs w:val="28"/>
          <w:highlight w:val="white"/>
          <w:rtl w:val="0"/>
        </w:rPr>
        <w:t xml:space="preserve">сайти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before="280" w:lineRule="auto"/>
        <w:ind w:left="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українська мова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— Офіційний сайт української мови (ukrainskamova.com);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українська література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— Мала сторінка (mala.storinka.org);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зарубіжна література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— Світова література в школі (svitlit.at.ua);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математика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— Formula.co.ua;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before="0" w:lineRule="auto"/>
        <w:ind w:left="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природознавство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— Український біологічний світ (biology.org.ua);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80" w:before="0" w:lineRule="auto"/>
        <w:ind w:left="0" w:hanging="360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іноземна мова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 — Англійська в школі (ksenstar.com.ua).</w:t>
      </w:r>
    </w:p>
    <w:p w:rsidR="00000000" w:rsidDel="00000000" w:rsidP="00000000" w:rsidRDefault="00000000" w:rsidRPr="00000000" w14:paraId="00000020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 відео за посиланням нижче:</w:t>
      </w:r>
    </w:p>
    <w:p w:rsidR="00000000" w:rsidDel="00000000" w:rsidP="00000000" w:rsidRDefault="00000000" w:rsidRPr="00000000" w14:paraId="00000021">
      <w:pPr>
        <w:ind w:left="-567" w:firstLine="0"/>
        <w:rPr>
          <w:rFonts w:ascii="Times New Roman" w:cs="Times New Roman" w:eastAsia="Times New Roman" w:hAnsi="Times New Roman"/>
          <w:color w:val="0000ff"/>
          <w:sz w:val="28"/>
          <w:szCs w:val="28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https://www.youtube.com/watch?v=ZFNiAeVF7uw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567" w:firstLine="0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 себе:</w:t>
      </w:r>
    </w:p>
    <w:p w:rsidR="00000000" w:rsidDel="00000000" w:rsidP="00000000" w:rsidRDefault="00000000" w:rsidRPr="00000000" w14:paraId="00000023">
      <w:pPr>
        <w:ind w:left="-567" w:firstLine="0"/>
        <w:rPr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https://learningapps.org/view2634943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4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Для тих хто хоче знати більше: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Електронні бібліотеки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http://www.ukrcenter.com/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  </w:t>
        <w:br w:type="textWrapping"/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http://www.ukrreferat.com/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http://www.nbuv.gov.ua/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Інтернет-енциклопедії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http://uk.wikipedia.org/ 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http://history.org.ua/?encyclop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br w:type="textWrapping"/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http://tvarunu.com.ua/ 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709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paragraph" w:styleId="5">
    <w:name w:val="heading 5"/>
    <w:basedOn w:val="a"/>
    <w:link w:val="50"/>
    <w:uiPriority w:val="9"/>
    <w:qFormat w:val="1"/>
    <w:rsid w:val="008972B2"/>
    <w:pPr>
      <w:spacing w:after="100" w:afterAutospacing="1" w:before="100" w:beforeAutospacing="1" w:line="240" w:lineRule="auto"/>
      <w:outlineLvl w:val="4"/>
    </w:pPr>
    <w:rPr>
      <w:rFonts w:ascii="Times New Roman" w:cs="Times New Roman" w:eastAsia="Times New Roman" w:hAnsi="Times New Roman"/>
      <w:b w:val="1"/>
      <w:bCs w:val="1"/>
      <w:sz w:val="20"/>
      <w:szCs w:val="20"/>
      <w:lang w:eastAsia="ru-RU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 w:val="1"/>
    <w:rsid w:val="00480ED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character" w:styleId="gxst-emph" w:customStyle="1">
    <w:name w:val="gxst-emph"/>
    <w:basedOn w:val="a0"/>
    <w:rsid w:val="00F46CD3"/>
  </w:style>
  <w:style w:type="character" w:styleId="a8">
    <w:name w:val="Strong"/>
    <w:basedOn w:val="a0"/>
    <w:uiPriority w:val="22"/>
    <w:qFormat w:val="1"/>
    <w:rsid w:val="00F46CD3"/>
    <w:rPr>
      <w:b w:val="1"/>
      <w:bCs w:val="1"/>
    </w:rPr>
  </w:style>
  <w:style w:type="table" w:styleId="a9">
    <w:name w:val="Table Grid"/>
    <w:basedOn w:val="a1"/>
    <w:uiPriority w:val="59"/>
    <w:rsid w:val="00BE683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50" w:customStyle="1">
    <w:name w:val="Заголовок 5 Знак"/>
    <w:basedOn w:val="a0"/>
    <w:link w:val="5"/>
    <w:uiPriority w:val="9"/>
    <w:rsid w:val="008972B2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a">
    <w:name w:val="FollowedHyperlink"/>
    <w:basedOn w:val="a0"/>
    <w:uiPriority w:val="99"/>
    <w:semiHidden w:val="1"/>
    <w:unhideWhenUsed w:val="1"/>
    <w:rsid w:val="008972B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ingapps.org/view2634943" TargetMode="External"/><Relationship Id="rId10" Type="http://schemas.openxmlformats.org/officeDocument/2006/relationships/hyperlink" Target="https://www.youtube.com/watch?v=ZFNiAeVF7uw" TargetMode="External"/><Relationship Id="rId13" Type="http://schemas.openxmlformats.org/officeDocument/2006/relationships/hyperlink" Target="http://www.ukrreferat.com/" TargetMode="External"/><Relationship Id="rId12" Type="http://schemas.openxmlformats.org/officeDocument/2006/relationships/hyperlink" Target="http://www.ukrcent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://uk.wikipedia.org/" TargetMode="External"/><Relationship Id="rId14" Type="http://schemas.openxmlformats.org/officeDocument/2006/relationships/hyperlink" Target="http://www.nbuv.gov.ua/" TargetMode="External"/><Relationship Id="rId17" Type="http://schemas.openxmlformats.org/officeDocument/2006/relationships/hyperlink" Target="http://tvarunu.com.ua/" TargetMode="External"/><Relationship Id="rId16" Type="http://schemas.openxmlformats.org/officeDocument/2006/relationships/hyperlink" Target="http://history.org.ua/?encyclop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P8wEVe5bAZ3ipeBXOQZLlZiFoQ==">AMUW2mXSKWQO3DQXcpgmauyAd8kcDiltlaZI15+5eDXa/+l1xlf3MioUP4heMOtrLq7EpuohtF20nO9MsHTivDsRwtHLuDCHhJy3UYhWsERhD6UpmmW7Cfk=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