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11.05.2022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DmpufiOjdtGHf97+yYMFMTLufA==">AMUW2mVr1FxBzBpHJLAnAX3zGsmwC8EdeoSUQ+tT2E/x8DCYXg+Wibv2EmqR2oNLVYNmFQ2RQ15DHee7T5IbiR+GULfKfAVXjmhu8ONf9MPOb/yukQ7oOyG5wLp2NcUM9dXRpj1kwKA5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