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4F" w:rsidRDefault="002B7F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CE7EB1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5E41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EB1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5E41D0" w:rsidRDefault="002B7F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7-В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B7FAB" w:rsidRDefault="002B7FAB" w:rsidP="002B7F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2B7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Культура Київської держави в 10-11 </w:t>
      </w:r>
      <w:proofErr w:type="spellStart"/>
      <w:r w:rsidRPr="002B7FAB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proofErr w:type="spellEnd"/>
    </w:p>
    <w:p w:rsidR="002B7FAB" w:rsidRPr="002B7FAB" w:rsidRDefault="002B7FAB" w:rsidP="002B7F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давньоруської народності належить періоду IX-X ст. Воно здійснювалось у процесі асиміляції слов’ян з фінно-уграми і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балтами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. До цих часів належить поняття "Русь". У широкому смислі "Русь" означала усі землі східних слов’ян, що підвладні Києву. У вузькому значенні (географічному) – місце, що лежить на південь від Києва, між річками Рось,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Росава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, Дніпро.</w:t>
      </w: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7FAB">
        <w:rPr>
          <w:rFonts w:ascii="Times New Roman" w:hAnsi="Times New Roman" w:cs="Times New Roman"/>
          <w:sz w:val="28"/>
          <w:szCs w:val="28"/>
          <w:lang w:val="uk-UA"/>
        </w:rPr>
        <w:t>Поряд з історичною писемністю на Русі розвивалася оригінальна література: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агіографічна (житія святих),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філософсько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-публіцистична, </w:t>
      </w:r>
      <w:r w:rsidRPr="002B7FAB">
        <w:rPr>
          <w:rFonts w:ascii="Times New Roman" w:hAnsi="Times New Roman" w:cs="Times New Roman"/>
          <w:sz w:val="28"/>
          <w:szCs w:val="28"/>
          <w:lang w:val="uk-UA"/>
        </w:rPr>
        <w:t>художня.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Підґрунтя літератури становила усна народна творчість: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епічні й ліричні пісні, перекази, </w:t>
      </w:r>
      <w:r w:rsidRPr="002B7FAB">
        <w:rPr>
          <w:rFonts w:ascii="Times New Roman" w:hAnsi="Times New Roman" w:cs="Times New Roman"/>
          <w:sz w:val="28"/>
          <w:szCs w:val="28"/>
          <w:lang w:val="uk-UA"/>
        </w:rPr>
        <w:t>легенди.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Особливе місце посідали билини київського та новгородського циклів (Ілля Муромець, Добриня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Никитич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Альоша Попович,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Микула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Селянинович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, Садко, Василь Буслаєв).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До наших днів дійшло небагато пам’яток літературних творів доби Київської Русі, але й з тих, що збереглися, можна зробити висновок про високий рівень розвитку літератури цього періоду. Серед видатних пам’яток твір митрополита Іларіона "Слово про Закон та Благодать", агіографічні твори Нестора "Читання про життя і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погублєніє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Бориса і Гліба" та "Житіє Феодосія Печерського", "Повчання" Володимира Мономаха, "Послання" митрополита Клима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Смолятича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проповіді й повчання єпископа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турівського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Кирила, "Слово о полку Ігоревім", "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Хождение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Даниила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Заточника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"Слово про Закон та Благодать" Іларіона, проголошене 1050 р. у Софії Київській, стало маніфестом самоусвідомлення руського народу. Іларіон порівнює діяння Ольги і Володимира Святославича з візантійцями Костянтином Великим і Оленою. Ярослав став продовжувачем справ батька, він порівнюється з Соломоном й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уславлюється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як будівничий Києва та Софії Київської.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Ізборник 1076 р. відповідає на питання "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како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подобает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человеку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быти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". Вперше визнаються соціальні протиріччя: меншість багатих розкошує, а "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большая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мира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сего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нищете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". Праведні й бідні живуть мало, а </w:t>
      </w:r>
      <w:r w:rsidRPr="002B7FAB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заможні "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многие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лета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". Ізборник закликає до загальної любові і взаємного всепрощення.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Головна ідея "Повчання" Володимира Мономаха – тривога за долю Русі, заклик піклуватись про свою землю і підданих: "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Всего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же паче убогих не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забывайте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…не давайте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сильным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погубити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человека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. […]. Паче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всего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гордости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имейте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сердце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и в уме, но говорите: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смертны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днесь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живы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заутра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в гроб. […]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Старые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чти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яко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отца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молодые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яко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братью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". На перший план у "Повчанні" висуваються задачі загальнодержавного порядку. Священний обов’язок князя – турбота про благо своєї держави, її єдності, сувора дотриманість клятв і договорів.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Архітектура міст Київської Русі визначалася насамперед дерев’яними спорудами. Шедеврами народного житло-будування були будинки заможних верств населення, так звані "хороми". Вони складалися з комплексу приміщень – "сіни", "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істба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", "кліть". У великих містах хороми мали два і більше поверхи. Біднота мешкала у однокамерних житлах площиною близько 20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. м. На Півдні ці оселі зводилися на каркасно-стовповій конструкції, що обмащувалася глиною й білилася. Житло нагадувало пізнішу українську хату.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Вихід Київської Русі на міжнародну арену, знайомство з візантійською культурою та запровадження християнства зумовили виникнення монументальної кам’яної архітектури. З нею князі асоціювали і державну могутність, і власну велич, – вони мали жити в палацах, не гірших за візантійські, і храми не повинні були ні в чому поступатися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царградським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Наприкінці Х – початку XI ст. на Русі склалися необхідні умови для будівництва кам’яних споруд. За Володимира найкращою будівлею вважалась Десятинна церква (996 р.), найдавніший кам’яний храм Русі. Він був витриманий у візантійському стилі. За Ярослава зодчество набирає виразних національних рис (Софійський Собор, 1037).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У другій половині XI ст. культове будівництво розгортається і в інших давньоруських центрах.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З 30-х рр. XII ст. культова архітектура пожвавлюється у містах удільних князівств. Кількість храмів зростала, але їхні розміри зменшувалися, архітектура спрощувалася, внутрішнє оздоблення ставало менш вишуканим.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Високого рівня в Київській Русі досягло прикладне мистецтво. Орнаментальними композиціями, що поєднували елементи язичницької та християнської символіки, вкривалися побутові речі, прикраси, зброя, домашня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утвар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(металеві, керамічні посудини), різьблені кістяні вироби.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Ремісники Русі оволоділи технологією склоробства, майолікової кераміки. Цьому сприяло будівництво кам’яних споруд, оздоблених всередині смальтою та керамічними полив’яними плитками.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Різьблення по дереву і кістці – популярний вид художнього ремесла на Русі. Дерев’яними оздобами прикрашалися фасади дерев’яних, зрубних будинків, одвірки, човни, сани, речі домашнього вжитку.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Різблені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по кістці речі користувались широким попитом за кордоном. Це скриньки, образки, руків’я ножів, дзеркал, ложки, шахові та шашкові фігурки. Предмети вкриті геометричним орнаментом, а також рослинним. Зустрічаються і сюжетні композиції.</w:t>
      </w:r>
    </w:p>
    <w:p w:rsidR="00FB3099" w:rsidRDefault="00FB309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2FA6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</w:t>
      </w:r>
      <w:hyperlink r:id="rId5" w:history="1">
        <w:r w:rsidR="002B7FAB" w:rsidRPr="001861F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https://youtu.be/iPOx_QUpkjA</w:t>
        </w:r>
      </w:hyperlink>
      <w:r w:rsidR="002B7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E16EA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зав</w:t>
      </w:r>
      <w:r w:rsidR="00646F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дання: </w:t>
      </w:r>
    </w:p>
    <w:p w:rsidR="00E16EA0" w:rsidRPr="00E16EA0" w:rsidRDefault="00E16EA0" w:rsidP="00E16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2B7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ар. 10 </w:t>
      </w:r>
      <w:r w:rsidR="00522FA6" w:rsidRPr="00E16E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B7FAB">
        <w:rPr>
          <w:rFonts w:ascii="Times New Roman" w:hAnsi="Times New Roman" w:cs="Times New Roman"/>
          <w:b/>
          <w:sz w:val="28"/>
          <w:szCs w:val="28"/>
          <w:lang w:val="uk-UA"/>
        </w:rPr>
        <w:t>скласти план «Основні досягнення культури Київської Русі.</w:t>
      </w:r>
      <w:r w:rsidRPr="00E16E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E41D0" w:rsidRPr="00E16EA0" w:rsidRDefault="00E16EA0" w:rsidP="00E16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6EA0">
        <w:rPr>
          <w:rFonts w:ascii="Times New Roman" w:hAnsi="Times New Roman" w:cs="Times New Roman"/>
          <w:b/>
          <w:sz w:val="28"/>
          <w:szCs w:val="28"/>
          <w:lang w:val="uk-UA"/>
        </w:rPr>
        <w:t>Творче завдання «Історичний кросворд»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sectPr w:rsidR="005E41D0" w:rsidRPr="00E1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F30DE"/>
    <w:multiLevelType w:val="hybridMultilevel"/>
    <w:tmpl w:val="70A0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B"/>
    <w:rsid w:val="0023264F"/>
    <w:rsid w:val="002B7FAB"/>
    <w:rsid w:val="00522FA6"/>
    <w:rsid w:val="0055236A"/>
    <w:rsid w:val="005E41D0"/>
    <w:rsid w:val="005E4916"/>
    <w:rsid w:val="00646F81"/>
    <w:rsid w:val="00CE7EB1"/>
    <w:rsid w:val="00DE2E6B"/>
    <w:rsid w:val="00E16EA0"/>
    <w:rsid w:val="00E8332C"/>
    <w:rsid w:val="00F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F894E-C154-49DA-A2B7-C8DA28D6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1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POx_QUpk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2021-10-19T08:21:00Z</dcterms:created>
  <dcterms:modified xsi:type="dcterms:W3CDTF">2021-11-11T16:07:00Z</dcterms:modified>
</cp:coreProperties>
</file>