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C9" w:rsidRPr="006D32C9" w:rsidRDefault="006D32C9" w:rsidP="006D32C9">
      <w:pPr>
        <w:shd w:val="clear" w:color="auto" w:fill="ECECEC"/>
        <w:spacing w:before="100" w:beforeAutospacing="1" w:after="100" w:afterAutospacing="1" w:line="300" w:lineRule="atLeast"/>
        <w:rPr>
          <w:rFonts w:ascii="Open Sans" w:eastAsia="Times New Roman" w:hAnsi="Open Sans" w:cs="Times New Roman"/>
          <w:color w:val="4E4E3F"/>
          <w:sz w:val="36"/>
          <w:szCs w:val="36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36"/>
          <w:szCs w:val="36"/>
          <w:lang w:eastAsia="uk-UA"/>
        </w:rPr>
        <w:t xml:space="preserve">Тема уроку. </w:t>
      </w:r>
      <w:hyperlink r:id="rId5" w:history="1">
        <w:r w:rsidRPr="006D32C9">
          <w:rPr>
            <w:rFonts w:ascii="Open Sans" w:eastAsia="Times New Roman" w:hAnsi="Open Sans" w:cs="Times New Roman"/>
            <w:color w:val="00AEEF"/>
            <w:sz w:val="36"/>
            <w:szCs w:val="36"/>
            <w:u w:val="single"/>
            <w:lang w:eastAsia="uk-UA"/>
          </w:rPr>
          <w:t>Взаємодія кисню зі складними речовинами</w:t>
        </w:r>
      </w:hyperlink>
      <w:r w:rsidR="00657C16">
        <w:rPr>
          <w:rFonts w:ascii="Open Sans" w:eastAsia="Times New Roman" w:hAnsi="Open Sans" w:cs="Times New Roman"/>
          <w:color w:val="4E4E3F"/>
          <w:sz w:val="36"/>
          <w:szCs w:val="36"/>
          <w:lang w:eastAsia="uk-UA"/>
        </w:rPr>
        <w:t>.</w:t>
      </w:r>
    </w:p>
    <w:p w:rsidR="006D32C9" w:rsidRPr="006D32C9" w:rsidRDefault="006D32C9" w:rsidP="006D32C9">
      <w:pPr>
        <w:shd w:val="clear" w:color="auto" w:fill="ECECEC"/>
        <w:spacing w:before="100" w:beforeAutospacing="1" w:after="100" w:afterAutospacing="1" w:line="300" w:lineRule="atLeast"/>
        <w:rPr>
          <w:rFonts w:ascii="Open Sans" w:eastAsia="Times New Roman" w:hAnsi="Open Sans" w:cs="Times New Roman"/>
          <w:color w:val="4E4E3F"/>
          <w:sz w:val="24"/>
          <w:szCs w:val="24"/>
          <w:lang w:eastAsia="uk-UA"/>
        </w:rPr>
      </w:pPr>
    </w:p>
    <w:p w:rsidR="006D32C9" w:rsidRPr="00657C16" w:rsidRDefault="006D32C9" w:rsidP="006D32C9">
      <w:pPr>
        <w:pStyle w:val="a4"/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57C16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В атмосфері кисню можуть горіти не лише прості речовини, а і складні.</w:t>
      </w:r>
    </w:p>
    <w:p w:rsidR="006D32C9" w:rsidRPr="00657C16" w:rsidRDefault="006D32C9" w:rsidP="006D32C9">
      <w:pPr>
        <w:pStyle w:val="a4"/>
        <w:shd w:val="clear" w:color="auto" w:fill="FFFFFF"/>
        <w:spacing w:before="375" w:after="375" w:line="240" w:lineRule="auto"/>
        <w:rPr>
          <w:rFonts w:ascii="Open Sans" w:eastAsia="Times New Roman" w:hAnsi="Open Sans" w:cs="Times New Roman"/>
          <w:b/>
          <w:bCs/>
          <w:color w:val="4E4E3F"/>
          <w:sz w:val="28"/>
          <w:szCs w:val="28"/>
          <w:lang w:eastAsia="uk-UA"/>
        </w:rPr>
      </w:pPr>
      <w:r w:rsidRPr="00657C16">
        <w:rPr>
          <w:rFonts w:ascii="Open Sans" w:eastAsia="Times New Roman" w:hAnsi="Open Sans" w:cs="Times New Roman"/>
          <w:b/>
          <w:bCs/>
          <w:color w:val="4E4E3F"/>
          <w:sz w:val="28"/>
          <w:szCs w:val="28"/>
          <w:lang w:eastAsia="uk-UA"/>
        </w:rPr>
        <w:t>Під час горіння </w:t>
      </w:r>
      <w:r w:rsidRPr="00657C16">
        <w:rPr>
          <w:rFonts w:ascii="Open Sans" w:eastAsia="Times New Roman" w:hAnsi="Open Sans" w:cs="Times New Roman"/>
          <w:b/>
          <w:bCs/>
          <w:color w:val="76A900"/>
          <w:sz w:val="28"/>
          <w:szCs w:val="28"/>
          <w:lang w:eastAsia="uk-UA"/>
        </w:rPr>
        <w:t>складної</w:t>
      </w:r>
      <w:r w:rsidRPr="00657C16">
        <w:rPr>
          <w:rFonts w:ascii="Open Sans" w:eastAsia="Times New Roman" w:hAnsi="Open Sans" w:cs="Times New Roman"/>
          <w:b/>
          <w:bCs/>
          <w:color w:val="4E4E3F"/>
          <w:sz w:val="28"/>
          <w:szCs w:val="28"/>
          <w:lang w:eastAsia="uk-UA"/>
        </w:rPr>
        <w:t> речовини утворюються оксиди елементів, які входять до складу цієї речовини.</w:t>
      </w:r>
    </w:p>
    <w:p w:rsidR="006D32C9" w:rsidRPr="00657C16" w:rsidRDefault="006D32C9" w:rsidP="006D32C9">
      <w:pPr>
        <w:pStyle w:val="a4"/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57C16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Наприклад, якщо запалити природний газ, який використовується як побутове паливо (до його складу входить, в основному, газ метан </w:t>
      </w:r>
      <w:r w:rsidRPr="00657C16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CH</w:t>
      </w:r>
      <w:r w:rsidRPr="00657C16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657C16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), у результаті горіння утворюються два оксиди: карбон(</w:t>
      </w:r>
      <w:r w:rsidRPr="00657C16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IV</w:t>
      </w:r>
      <w:r w:rsidRPr="00657C16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) оксид (вуглекислий газ) і гідроген оксид (вода):</w:t>
      </w:r>
    </w:p>
    <w:p w:rsidR="006D32C9" w:rsidRPr="00657C16" w:rsidRDefault="006D32C9" w:rsidP="006D32C9">
      <w:pPr>
        <w:pStyle w:val="a4"/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57C16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57C16" w:rsidRDefault="006D32C9" w:rsidP="006D32C9">
      <w:pPr>
        <w:pStyle w:val="a4"/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57C16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CH</w:t>
      </w:r>
      <w:r w:rsidRPr="00657C16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4+2</w:t>
      </w:r>
      <w:r w:rsidRPr="00657C16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57C16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2=</w:t>
      </w:r>
      <w:r w:rsidRPr="00657C16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CO</w:t>
      </w:r>
      <w:r w:rsidRPr="00657C16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657C16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57C16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57C16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57C16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.</w:t>
      </w:r>
    </w:p>
    <w:p w:rsidR="006D32C9" w:rsidRPr="00657C16" w:rsidRDefault="006D32C9" w:rsidP="006D32C9">
      <w:pPr>
        <w:pStyle w:val="a4"/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</w:p>
    <w:p w:rsidR="006D32C9" w:rsidRPr="006D32C9" w:rsidRDefault="006D32C9" w:rsidP="006D32C9">
      <w:pPr>
        <w:pStyle w:val="a4"/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4"/>
          <w:szCs w:val="24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4"/>
          <w:szCs w:val="24"/>
          <w:lang w:eastAsia="uk-UA"/>
        </w:rPr>
        <w:t> 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640D7CE0" wp14:editId="20BB7C3F">
                <wp:extent cx="304800" cy="304800"/>
                <wp:effectExtent l="0" t="0" r="0" b="0"/>
                <wp:docPr id="3" name="AutoShape 3" descr="https://yklua-resources.azureedge.net/b04cfa1c-0f87-47a5-a97e-e518d6e053d9/%D0%BA%D0%B0%D0%BC%D1%84%D0%BE%D1%80%D0%BA%D0%B0-w36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0B883" id="AutoShape 3" o:spid="_x0000_s1026" alt="https://yklua-resources.azureedge.net/b04cfa1c-0f87-47a5-a97e-e518d6e053d9/%D0%BA%D0%B0%D0%BC%D1%84%D0%BE%D1%80%D0%BA%D0%B0-w36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5SuLYDAMAAEQ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6D32C9">
        <w:rPr>
          <w:rFonts w:ascii="Open Sans" w:eastAsia="Times New Roman" w:hAnsi="Open Sans" w:cs="Times New Roman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3419475" cy="3143250"/>
            <wp:effectExtent l="0" t="0" r="9525" b="0"/>
            <wp:docPr id="1" name="Рисунок 1" descr="C:\Users\Наталья\Documents\камфорка-w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камфорка-w3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b/>
          <w:i/>
          <w:iCs/>
          <w:color w:val="4E4E3F"/>
          <w:sz w:val="28"/>
          <w:szCs w:val="28"/>
          <w:lang w:eastAsia="uk-UA"/>
        </w:rPr>
        <w:t>Горіння побутового газу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i/>
          <w:iCs/>
          <w:color w:val="4E4E3F"/>
          <w:sz w:val="28"/>
          <w:szCs w:val="28"/>
          <w:lang w:eastAsia="uk-UA"/>
        </w:rPr>
        <w:t> </w:t>
      </w: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Аналогічно горить і переважна більшість органічних речовин — з утворенням вуглекислого газу і води.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 xml:space="preserve">Горіння </w:t>
      </w:r>
      <w:r w:rsidRPr="006D32C9"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  <w:t>глюкози: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6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12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6+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6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2=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6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6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;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 xml:space="preserve">горіння </w:t>
      </w:r>
      <w:r w:rsidRPr="006D32C9"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  <w:t>цукру: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12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11+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12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2=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12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11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;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 xml:space="preserve">горіння </w:t>
      </w:r>
      <w:r w:rsidRPr="006D32C9"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  <w:t>етилового спирту: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5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2=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CO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.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lastRenderedPageBreak/>
        <w:t>Реакції горіння неорганічних речовин відбувається аналогічно — з утворенням оксидів елементів, що входять до складу складної речовини.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 xml:space="preserve">Горіння </w:t>
      </w:r>
      <w:r w:rsidRPr="006D32C9"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  <w:t>гідроген сульфіду: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S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2=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SO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;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 xml:space="preserve">горіння </w:t>
      </w:r>
      <w:r w:rsidRPr="006D32C9">
        <w:rPr>
          <w:rFonts w:ascii="Open Sans" w:eastAsia="Times New Roman" w:hAnsi="Open Sans" w:cs="Times New Roman"/>
          <w:color w:val="FF0000"/>
          <w:sz w:val="28"/>
          <w:szCs w:val="28"/>
          <w:lang w:eastAsia="uk-UA"/>
        </w:rPr>
        <w:t>гідроген фосфіду: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 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</w:pP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PH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3+</w:t>
      </w:r>
      <w:r w:rsidRPr="006D32C9">
        <w:rPr>
          <w:rFonts w:ascii="MathJax_Main-italic" w:eastAsia="Times New Roman" w:hAnsi="MathJax_Main-italic" w:cs="Times New Roman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2=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P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5+3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D32C9">
        <w:rPr>
          <w:rFonts w:ascii="MathJax_Main" w:eastAsia="Times New Roman" w:hAnsi="MathJax_Main" w:cs="Times New Roman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D32C9">
        <w:rPr>
          <w:rFonts w:ascii="MathJax_Math-italic" w:eastAsia="Times New Roman" w:hAnsi="MathJax_Math-italic" w:cs="Times New Roman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D32C9">
        <w:rPr>
          <w:rFonts w:ascii="Open Sans" w:eastAsia="Times New Roman" w:hAnsi="Open Sans" w:cs="Times New Roman"/>
          <w:color w:val="4E4E3F"/>
          <w:sz w:val="28"/>
          <w:szCs w:val="28"/>
          <w:lang w:eastAsia="uk-UA"/>
        </w:rPr>
        <w:t>;</w:t>
      </w:r>
    </w:p>
    <w:p w:rsidR="006D32C9" w:rsidRPr="006D32C9" w:rsidRDefault="006D32C9" w:rsidP="006D32C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E4E3F"/>
          <w:sz w:val="24"/>
          <w:szCs w:val="24"/>
          <w:lang w:eastAsia="uk-UA"/>
        </w:rPr>
      </w:pPr>
      <w:r w:rsidRPr="006D32C9">
        <w:rPr>
          <w:rFonts w:ascii="Open Sans" w:eastAsia="Times New Roman" w:hAnsi="Open Sans" w:cs="Times New Roman"/>
          <w:color w:val="4E4E3F"/>
          <w:sz w:val="24"/>
          <w:szCs w:val="24"/>
          <w:lang w:eastAsia="uk-UA"/>
        </w:rPr>
        <w:t> </w:t>
      </w:r>
    </w:p>
    <w:p w:rsidR="00A6081E" w:rsidRPr="006D32C9" w:rsidRDefault="006D32C9">
      <w:pPr>
        <w:rPr>
          <w:b/>
          <w:color w:val="FF0000"/>
          <w:sz w:val="40"/>
          <w:szCs w:val="40"/>
        </w:rPr>
      </w:pPr>
      <w:r w:rsidRPr="006D32C9">
        <w:rPr>
          <w:b/>
          <w:color w:val="FF0000"/>
          <w:sz w:val="40"/>
          <w:szCs w:val="40"/>
        </w:rPr>
        <w:t>Висновок.</w:t>
      </w:r>
    </w:p>
    <w:p w:rsidR="006D32C9" w:rsidRDefault="006D32C9">
      <w:r w:rsidRPr="006D32C9">
        <w:rPr>
          <w:noProof/>
          <w:lang w:eastAsia="uk-UA"/>
        </w:rPr>
        <w:drawing>
          <wp:inline distT="0" distB="0" distL="0" distR="0">
            <wp:extent cx="4810125" cy="3311924"/>
            <wp:effectExtent l="0" t="0" r="0" b="3175"/>
            <wp:docPr id="2" name="Рисунок 2" descr="C:\Users\Наталья\Documents\slide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slide_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2" cy="333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16" w:rsidRDefault="00657C16"/>
    <w:p w:rsidR="00657C16" w:rsidRDefault="00657C16">
      <w:bookmarkStart w:id="0" w:name="_GoBack"/>
      <w:bookmarkEnd w:id="0"/>
    </w:p>
    <w:p w:rsidR="006D32C9" w:rsidRPr="006D32C9" w:rsidRDefault="006D32C9">
      <w:pPr>
        <w:rPr>
          <w:b/>
          <w:sz w:val="32"/>
          <w:szCs w:val="32"/>
        </w:rPr>
      </w:pPr>
      <w:r w:rsidRPr="006D32C9">
        <w:rPr>
          <w:b/>
          <w:sz w:val="32"/>
          <w:szCs w:val="32"/>
        </w:rPr>
        <w:t>Завдання.</w:t>
      </w:r>
    </w:p>
    <w:p w:rsidR="006D32C9" w:rsidRPr="006D32C9" w:rsidRDefault="006D32C9" w:rsidP="006D32C9">
      <w:pPr>
        <w:pStyle w:val="a4"/>
        <w:numPr>
          <w:ilvl w:val="0"/>
          <w:numId w:val="2"/>
        </w:numPr>
        <w:rPr>
          <w:b/>
          <w:sz w:val="32"/>
          <w:szCs w:val="32"/>
        </w:rPr>
      </w:pPr>
      <w:r w:rsidRPr="006D32C9">
        <w:rPr>
          <w:b/>
          <w:sz w:val="32"/>
          <w:szCs w:val="32"/>
        </w:rPr>
        <w:t>Опрацювати §27 на сторінці 128.</w:t>
      </w:r>
    </w:p>
    <w:p w:rsidR="006D32C9" w:rsidRPr="006D32C9" w:rsidRDefault="006D32C9" w:rsidP="006D32C9">
      <w:pPr>
        <w:pStyle w:val="a4"/>
        <w:numPr>
          <w:ilvl w:val="0"/>
          <w:numId w:val="2"/>
        </w:numPr>
        <w:rPr>
          <w:b/>
          <w:sz w:val="32"/>
          <w:szCs w:val="32"/>
        </w:rPr>
      </w:pPr>
      <w:r w:rsidRPr="006D32C9">
        <w:rPr>
          <w:b/>
          <w:sz w:val="32"/>
          <w:szCs w:val="32"/>
        </w:rPr>
        <w:t>Виконати вправу №7.</w:t>
      </w:r>
    </w:p>
    <w:sectPr w:rsidR="006D32C9" w:rsidRPr="006D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5023C"/>
    <w:multiLevelType w:val="hybridMultilevel"/>
    <w:tmpl w:val="42425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171A1"/>
    <w:multiLevelType w:val="multilevel"/>
    <w:tmpl w:val="EE92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C9"/>
    <w:rsid w:val="00657C16"/>
    <w:rsid w:val="006D32C9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4A59A-40E6-4CF9-A7C4-26B1C2F7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32C9"/>
    <w:rPr>
      <w:b/>
      <w:bCs/>
    </w:rPr>
  </w:style>
  <w:style w:type="character" w:customStyle="1" w:styleId="mi">
    <w:name w:val="mi"/>
    <w:basedOn w:val="a0"/>
    <w:rsid w:val="006D32C9"/>
  </w:style>
  <w:style w:type="character" w:customStyle="1" w:styleId="mn">
    <w:name w:val="mn"/>
    <w:basedOn w:val="a0"/>
    <w:rsid w:val="006D32C9"/>
  </w:style>
  <w:style w:type="character" w:customStyle="1" w:styleId="mo">
    <w:name w:val="mo"/>
    <w:basedOn w:val="a0"/>
    <w:rsid w:val="006D32C9"/>
  </w:style>
  <w:style w:type="paragraph" w:styleId="a4">
    <w:name w:val="List Paragraph"/>
    <w:basedOn w:val="a"/>
    <w:uiPriority w:val="34"/>
    <w:qFormat/>
    <w:rsid w:val="006D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84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584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3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yklas.com.ua/p/himija/7-klas/kisen-39364/vzayemodiia-kisniu-zi-skladnimi-rechovinami-393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756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2022-02-16T17:43:00Z</dcterms:created>
  <dcterms:modified xsi:type="dcterms:W3CDTF">2022-02-16T17:57:00Z</dcterms:modified>
</cp:coreProperties>
</file>