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0FB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19.10.2021 </w:t>
      </w:r>
    </w:p>
    <w:p w:rsid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8-А-Б</w:t>
      </w:r>
    </w:p>
    <w:p w:rsid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6110D" w:rsidRDefault="002611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110D">
        <w:rPr>
          <w:rFonts w:ascii="Times New Roman" w:hAnsi="Times New Roman" w:cs="Times New Roman"/>
          <w:b/>
          <w:sz w:val="28"/>
          <w:szCs w:val="28"/>
          <w:lang w:val="uk-UA"/>
        </w:rPr>
        <w:t>Тема: Люблінська унія.</w:t>
      </w:r>
    </w:p>
    <w:p w:rsidR="0026110D" w:rsidRDefault="002611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конспект. </w:t>
      </w:r>
    </w:p>
    <w:p w:rsid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1569 У Любліні на спільному сеймі станів Польщі і Великого князівства Литовського (ВКЛ) затверджено утворення нової федеративної держави – Речі Посполитої, конституційної монархії під владою виборного короля. При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цьoму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Вeликe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князiвствo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Литoвськe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, як i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Пoльськa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Кoрoнa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лишaлoся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сaмoстiйним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пoлiтичним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oргaнiзмoм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oкрeмoю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вищoю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aдмiнiстрaцiєю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влaснoю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скaрбницeю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вiйськoм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судoвo-прaвoвoю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систeмoю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Плaтoю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зa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дeржaвну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сувeрeннiсть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, яку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вдaлoся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збeрeгти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знeсилeнoму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Вeликoму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князiвству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стaли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Пiдляшшя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Вoлинь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Київщинa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Брaцлaвщинa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 xml:space="preserve">, які переходили під польське управління. Люблінська унія заклала передумови для економічних і політичних переваг у рамках цієї держави для польської сторони, та недостатньо врахувала інтереси українського й білоруського населення (через унію були ліквідовані рештки </w:t>
      </w:r>
      <w:proofErr w:type="spellStart"/>
      <w:r w:rsidRPr="0026110D">
        <w:rPr>
          <w:rFonts w:ascii="Times New Roman" w:hAnsi="Times New Roman" w:cs="Times New Roman"/>
          <w:sz w:val="28"/>
          <w:szCs w:val="28"/>
          <w:lang w:val="uk-UA"/>
        </w:rPr>
        <w:t>укр</w:t>
      </w:r>
      <w:proofErr w:type="spellEnd"/>
      <w:r w:rsidRPr="0026110D">
        <w:rPr>
          <w:rFonts w:ascii="Times New Roman" w:hAnsi="Times New Roman" w:cs="Times New Roman"/>
          <w:sz w:val="28"/>
          <w:szCs w:val="28"/>
          <w:lang w:val="uk-UA"/>
        </w:rPr>
        <w:t>. та білорус. державності, які зберігалися у ВКЛ; у Речі Посполитій посилилися процеси полонізації та окатоличення українців і білорусів). Це викликало наростання в ній національних, релігійних та соціальних конфліктів. Наприкінці 16 ст. ці конфлікти спричинили вибух козацьких повстань і врешті-решт національно-визвольну війну українського народу середини 17 ст. Спроби короля та уряду збалансували державний устрій Речі Посполитої, врахувавши певною мірою інтереси українців і білорусів, були запізнілими й практично не були реалізовані. Це стало однією з головних причин тяжкої кризи Речі Посполитої.</w:t>
      </w:r>
    </w:p>
    <w:p w:rsid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110D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history="1">
        <w:r w:rsidRPr="000B7F9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https://youtu.be/pdp9kmM03Mw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110D" w:rsidRP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110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прочитать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пар. 2,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20 пит.1-5 письмово.</w:t>
      </w:r>
    </w:p>
    <w:sectPr w:rsidR="0026110D" w:rsidRPr="00261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34"/>
    <w:rsid w:val="001A2E34"/>
    <w:rsid w:val="0026110D"/>
    <w:rsid w:val="00A950FB"/>
    <w:rsid w:val="00F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8FDE6-1499-45D4-B1C0-742F9DBC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dp9kmM03M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2021-10-19T06:46:00Z</dcterms:created>
  <dcterms:modified xsi:type="dcterms:W3CDTF">2021-10-19T06:59:00Z</dcterms:modified>
</cp:coreProperties>
</file>