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24.02.22</w:t>
        <w:tab/>
        <w:tab/>
        <w:tab/>
        <w:tab/>
        <w:t xml:space="preserve">9АБ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Style w:val="Heading2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Тема. Електронна таблиця як засіб подання відомостей про однотипні об’єкти. Умовне форматування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tabs>
          <w:tab w:val="left" w:pos="709"/>
          <w:tab w:val="left" w:pos="851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Інтерпретувати деякі види електронних таблиць як набори відомостей про однотипні об’єкти.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tabs>
          <w:tab w:val="left" w:pos="709"/>
          <w:tab w:val="left" w:pos="851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Застосовувати умовне форматування для унаочнення даних, що задовольняють певні умови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709"/>
          <w:tab w:val="left" w:pos="851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12317" cy="4641780"/>
            <wp:effectExtent b="0" l="0" r="0" t="0"/>
            <wp:docPr descr="Безымянный" id="402" name="image1.png"/>
            <a:graphic>
              <a:graphicData uri="http://schemas.openxmlformats.org/drawingml/2006/picture">
                <pic:pic>
                  <pic:nvPicPr>
                    <pic:cNvPr descr="Безымянный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317" cy="46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Електронні таблиці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(табличні процесори) – це прикладне програмне забезпечення спільного призначення, яке використовується для обробки даних, представлених у табличній формі . Електронна таблиця (ЕТ) дозволяє зберігати в табличній формі велику кількість вхідних даних, результатів, а також зв’язків (алгебраїчних і логічних співвідношень) між ними. При зміні вхідних даних всі результати автоматично перераховуються і заносяться в таблицю. Такі таблиці можна переглядати, змінювати, записувати на носії зовнішньої пам’яті для зберігання, роздруковувати на принтері.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форма організації даних по рядкам і стовпцям. 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 – комп’ютерний еквівалент звичайної таблиці.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Табличний процесор – це комплекс програм, призначений для створення і обробки електронних таблиць.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комірках таблиці можуть бути записані данні різних типів: текст, дати, числа, формули та ін.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Головна перевага ЕТ – можливість миттєвого перерахунку усіх даних, пов’язаних формульними залежностями, при зміні значення будь-якого компоненту таблиці.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Ідея створення електронних таблиць виникла досить давно – в 1979 р. Перша електронна таблиця була призначена для раціональних економічних обчислень і не відрізнялась різноманітністю функцій. Час йшов, один табличний процесор змінював інший, більш досконалий і в наш час найбільш популярним став табличний процесор Excel, розроблений компанією Microsoft.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99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6"/>
          <w:szCs w:val="26"/>
          <w:rtl w:val="0"/>
        </w:rPr>
        <w:t xml:space="preserve">Перегляньте навчальне відео за посиланням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https://youtu.be/6el0XhOSqKc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6"/>
          <w:szCs w:val="26"/>
          <w:rtl w:val="0"/>
        </w:rPr>
        <w:t xml:space="preserve">Виконайте тренувальну вправу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https://learningapps.org/watch?v=pua0qbpik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00"/>
          <w:sz w:val="28"/>
          <w:szCs w:val="28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Роботу бажано виконувати у Google таблицях.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Відформатуйте таблицю за зразком наведеним на рисунку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Надайте вчителю доступ для перегляду файлу з роботою.</w:t>
      </w: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left"/>
        <w:tblInd w:w="-142.0" w:type="dxa"/>
        <w:tblLayout w:type="fixed"/>
        <w:tblLook w:val="0000"/>
      </w:tblPr>
      <w:tblGrid>
        <w:gridCol w:w="1135"/>
        <w:gridCol w:w="1559"/>
        <w:gridCol w:w="1954"/>
        <w:gridCol w:w="2461"/>
        <w:gridCol w:w="2835"/>
        <w:tblGridChange w:id="0">
          <w:tblGrid>
            <w:gridCol w:w="1135"/>
            <w:gridCol w:w="1559"/>
            <w:gridCol w:w="1954"/>
            <w:gridCol w:w="2461"/>
            <w:gridCol w:w="2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b w:val="1"/>
                <w:color w:val="ff66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6600"/>
                <w:sz w:val="24"/>
                <w:szCs w:val="24"/>
                <w:rtl w:val="0"/>
              </w:rPr>
              <w:t xml:space="preserve">Розкладуроків на понеділок у 11 класах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color w:val="0099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b w:val="1"/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9900"/>
                <w:sz w:val="24"/>
                <w:szCs w:val="24"/>
                <w:rtl w:val="0"/>
              </w:rPr>
              <w:t xml:space="preserve">10А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b w:val="1"/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9900"/>
                <w:sz w:val="24"/>
                <w:szCs w:val="24"/>
                <w:rtl w:val="0"/>
              </w:rPr>
              <w:t xml:space="preserve">10Б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9900"/>
                <w:sz w:val="24"/>
                <w:szCs w:val="24"/>
                <w:rtl w:val="0"/>
              </w:rPr>
              <w:t xml:space="preserve">10В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і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Історія України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Геометрія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Всесвітня історія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ІІ урок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Алгебра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ІІІ урок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Алгебра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ІV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мова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Фізкультура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Географія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V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Фізкультура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VІ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Англійська мова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VІІ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Фізкультура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Хімія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firstLine="540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yw5ohd05yb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Умовний формат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Умовний 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 формат (наприклад візерунок комірки або колір шрифту), який Microsoft Excel автоматично застосовує до комірки. якщо виконується зазначена умова.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Додавання, зміна або видалення умовних форматів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Виборіть комірки, для яких потрібно додати, змінити або вида­лити умовне форматування.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форматування.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Викопайте відповідну дію.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Додавання умовного формату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використ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ння значень виділених комірок як умов форматування необхідно вибрати параметр значення, вибрати операцію порівняння, а потім ввести стале значення або формулу. Перед формулою слід поставити знак рівності (=).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використання формули як умови форматування (для оцінки даних або умов, відмінних від значень виділених  комірок) необхідно вибрати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потім ввести формулу, яка набуває логічного  значення TRUE або FALSE.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подальших дій: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Виберіть тип форматування, який слід застосувати, якщо значення комірки відповідає умові або формула повертає значення TRUE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Щоб додати іншу умову,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потім повторіть кроки.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Можна вказати не більше за три умови. Якщо жодна з указаних умов не набуває істинного значення, формат комірок не змінюється.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Пошук комірок, які мають умовне форматування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Щоб знайти всі комірки з умовним форматуванням, клацніть будь-яку комірку.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знайти комірки з установками умовного форматування, іден­тичними установкам певної комірки, клацніть певну комірку.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Перейти.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Виділити.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Виберіть умовні формати.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Виконайте одну з таких дій.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знайти комірки з умовним форматуванням  виберіть пара­метр усіх у групі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Перевірка даних.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знайти комірки з однаковим умовним форматом, виберіть параметр цих самих у групі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Перевірка даних.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Створення першої формули умовного форматування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Спочатку виберемо умовний формат для першої комірки даних, потім скопіюємо цей формат на весь діапазон. Виберемо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формату­вання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Відкриється діалогове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списку цього вікна вибрано пункт значення клацніть стрілку біля списку та виберіть 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Формула.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вибору пункту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вигляд діалогового вікна зміниться. Замість полів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Між х і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з'явиться велике поле для формули. Воно надає користувачеві широкі можливості. Тут можна ввести будь-яку бажану формулу, аби вона тільки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давала результат ІСТИНА або ХИБНІСТЬ.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Вибір кольору для виділення дубльованих комірок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 виберемо добре помітний формат для позначення всіх знайдених дублікатів. У діалоговому вікні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Формат.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Відкрийте вкладку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яскравий колір заливки, на приклад червоний або жовтий. Натисніть кнопку ОК. щоб закрити діалогом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комірок.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Вибраний формат буде показано у вікні зразка. Натисніть кнопку ОК, щоб закрити діалогове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форматування.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Копіювання умовного формату до решти комірок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треба скопіювати умовно форматування з комірі А1 до решти комірок діапазону.  Не залишаючи  комірки А1 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Копіювати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Натисни CTRL+пропуск, щоб виділити весь стовпець. Потім виберіть команду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Спеціальна вставка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вікні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Спеціальна вставка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перемикач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натисніть кнопку ОК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Умовне форматування буде скопійовано до всіх комірок стовп­ця. Тепер нарешті ви можете побачити деякі комірки з кольоровою заливкою, яка вказує на наявність дублікатів.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Умовне форматування може обробляти до 65536 комірок, порівнюючи кожну окрему комірку з рештою 65535 комірками. З тех­нічної точки зору, формула на першому кроці мала б виглядати так: =C0UNT1F($A$2:$A$1761;A2)&gt;1.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Крім того, копіюючи умовний формат до всього стовпця, можна було б виділити перед використанням команди Спеціально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лише комірки, які містять дані.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daj5op01jm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bookmarkStart w:colFirst="0" w:colLast="0" w:name="_heading=h.jr9atylqxsn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2251e87wtzj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умовного форматування виділіть комірки із вмістом “Українська література”, спосіб виділення - на ваш розсуд.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727B9"/>
    <w:pPr>
      <w:spacing w:after="200" w:line="276" w:lineRule="auto"/>
    </w:pPr>
    <w:rPr>
      <w:rFonts w:ascii="Calibri" w:cs="Times New Roman" w:eastAsia="Calibri" w:hAnsi="Calibri"/>
      <w:lang w:val="ru-RU"/>
    </w:rPr>
  </w:style>
  <w:style w:type="paragraph" w:styleId="2">
    <w:name w:val="heading 2"/>
    <w:basedOn w:val="a"/>
    <w:link w:val="20"/>
    <w:uiPriority w:val="9"/>
    <w:qFormat w:val="1"/>
    <w:rsid w:val="000625E5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727B9"/>
    <w:pPr>
      <w:ind w:left="720"/>
      <w:contextualSpacing w:val="1"/>
    </w:pPr>
  </w:style>
  <w:style w:type="paragraph" w:styleId="a4">
    <w:name w:val="No Spacing"/>
    <w:link w:val="a5"/>
    <w:uiPriority w:val="1"/>
    <w:qFormat w:val="1"/>
    <w:rsid w:val="0004516D"/>
    <w:pPr>
      <w:spacing w:after="0" w:line="240" w:lineRule="auto"/>
    </w:pPr>
  </w:style>
  <w:style w:type="character" w:styleId="a5" w:customStyle="1">
    <w:name w:val="Без інтервалів Знак"/>
    <w:link w:val="a4"/>
    <w:uiPriority w:val="1"/>
    <w:locked w:val="1"/>
    <w:rsid w:val="0004516D"/>
  </w:style>
  <w:style w:type="table" w:styleId="1" w:customStyle="1">
    <w:name w:val="Сітка таблиці (світла)1"/>
    <w:basedOn w:val="a1"/>
    <w:uiPriority w:val="40"/>
    <w:rsid w:val="00100EBE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>
    <w:name w:val="Table Grid"/>
    <w:basedOn w:val="a1"/>
    <w:uiPriority w:val="39"/>
    <w:rsid w:val="00100EB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100EBE"/>
    <w:pPr>
      <w:spacing w:after="0" w:line="240" w:lineRule="auto"/>
    </w:pPr>
    <w:rPr>
      <w:rFonts w:ascii="Arial" w:cs="Arial" w:hAnsi="Arial"/>
      <w:sz w:val="18"/>
      <w:szCs w:val="18"/>
    </w:rPr>
  </w:style>
  <w:style w:type="character" w:styleId="a8" w:customStyle="1">
    <w:name w:val="Текст у виносці Знак"/>
    <w:basedOn w:val="a0"/>
    <w:link w:val="a7"/>
    <w:uiPriority w:val="99"/>
    <w:semiHidden w:val="1"/>
    <w:rsid w:val="00100EBE"/>
    <w:rPr>
      <w:rFonts w:ascii="Arial" w:cs="Arial" w:eastAsia="Calibri" w:hAnsi="Arial"/>
      <w:sz w:val="18"/>
      <w:szCs w:val="18"/>
      <w:lang w:val="ru-RU"/>
    </w:rPr>
  </w:style>
  <w:style w:type="character" w:styleId="20" w:customStyle="1">
    <w:name w:val="Заголовок 2 Знак"/>
    <w:basedOn w:val="a0"/>
    <w:link w:val="2"/>
    <w:uiPriority w:val="9"/>
    <w:rsid w:val="000625E5"/>
    <w:rPr>
      <w:rFonts w:ascii="Times New Roman" w:cs="Times New Roman" w:eastAsia="Times New Roman" w:hAnsi="Times New Roman"/>
      <w:b w:val="1"/>
      <w:bCs w:val="1"/>
      <w:sz w:val="36"/>
      <w:szCs w:val="36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watch?v=pua0qbpi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6el0XhOSq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W2Qd2FQ6FfUJb8idQT0gf/yQw==">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2018-02-24T16:11:00Z</dcterms:created>
  <dc:creator>HOME</dc:creator>
</cp:coreProperties>
</file>