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A5" w:rsidRPr="004D19A5" w:rsidRDefault="002F2E48" w:rsidP="002F2E4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4D19A5" w:rsidRPr="004D19A5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4D19A5" w:rsidRPr="004D19A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Хімічна наука в </w:t>
      </w:r>
      <w:r w:rsidR="004D19A5" w:rsidRPr="004D19A5">
        <w:rPr>
          <w:rFonts w:ascii="Arial" w:eastAsia="Times New Roman" w:hAnsi="Arial" w:cs="Arial"/>
          <w:b/>
          <w:bCs/>
          <w:color w:val="FFFF00"/>
          <w:kern w:val="36"/>
          <w:sz w:val="48"/>
          <w:szCs w:val="48"/>
          <w:lang w:eastAsia="uk-UA"/>
        </w:rPr>
        <w:t>Україні</w:t>
      </w:r>
      <w:r w:rsidRPr="008D2072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4D19A5" w:rsidRDefault="004D19A5" w:rsidP="004D19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4D19A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Наш світ дуже швидко змінюється. Якщо порівняти число </w:t>
      </w:r>
      <w:proofErr w:type="spellStart"/>
      <w:r w:rsidRPr="004D19A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відкриттів</w:t>
      </w:r>
      <w:proofErr w:type="spellEnd"/>
      <w:r w:rsidRPr="004D19A5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в усіх науках, зроблених у XVIII столітті, з відкриттями за останнє десятиліття тільки в органічній хімії, то перевага буде за нашим часом. Сучасна хімія суттєво відрізняється не тільки від тієї, що була 100 років тому. Навіть 30 років тому вчені працювали зовсім по-іншому. Звісно, що закони природи не змінилися, але суттєво змінилися способи представлення та обробки хімічної інформації.</w:t>
      </w:r>
    </w:p>
    <w:p w:rsidR="00736B27" w:rsidRDefault="00736B27" w:rsidP="004D19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ХІМІЧНА НАУКА В УКРАЇНІ. 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Держава приділяє постійну увагу проведенню досліджень, заснованих на хімічних знаннях. В Україні з 1918 р. функціонує Національна академія наук (НАН України), а в її структурі нині діють понад 10 науково-дослідних інститутів, що вивчають речовини й хімічні процеси: Інститут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біоколоїдної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хімії ім. Ф. Д. Овчаренка, Інститут біохімії імені О. В. Палладіна, Інститут загальної та неорганічної хімії ім. В. І. Вернадського, Інститут колоїдної хімії та хімії води ім. А. В.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Думанського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Інститут органічної хімії, Інститут фізичної хімії ім. Л. В.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Писаржевського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Інститут хімії високомолекулярних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Інститут хімії поверхні ім. О. О.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Чуйка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та інші наукові установи. У них талановиті вітчизняні вчені здійснюють найрізноманітніші дослідження для розвитку науки та суспільного виробництва. Результати цих досліджень знаходять широке практичне застосування. Найсучасніші дослідження українських хіміків стосуються нанотехнологій і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наноматеріалів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736B27" w:rsidRPr="004D19A5" w:rsidRDefault="00736B27" w:rsidP="004D19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A6081E" w:rsidRPr="008D2072" w:rsidRDefault="004D19A5" w:rsidP="002F2E48">
      <w:pPr>
        <w:jc w:val="center"/>
        <w:rPr>
          <w:rFonts w:ascii="Arial" w:hAnsi="Arial" w:cs="Arial"/>
          <w:b/>
          <w:color w:val="292B2C"/>
          <w:sz w:val="23"/>
          <w:szCs w:val="23"/>
          <w:shd w:val="clear" w:color="auto" w:fill="FFFFFF"/>
          <w:lang w:val="ru-RU"/>
        </w:rPr>
      </w:pPr>
      <w:r w:rsidRPr="008D2072"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  <w:t>Сучасну хімію представляють різні галузі знань</w:t>
      </w:r>
      <w:r w:rsidRPr="008D2072">
        <w:rPr>
          <w:rFonts w:ascii="Arial" w:hAnsi="Arial" w:cs="Arial"/>
          <w:b/>
          <w:color w:val="292B2C"/>
          <w:sz w:val="23"/>
          <w:szCs w:val="23"/>
          <w:shd w:val="clear" w:color="auto" w:fill="FFFFFF"/>
          <w:lang w:val="ru-RU"/>
        </w:rPr>
        <w:t>:</w:t>
      </w:r>
    </w:p>
    <w:p w:rsidR="004D19A5" w:rsidRDefault="004D19A5">
      <w:r w:rsidRPr="004D19A5">
        <w:rPr>
          <w:noProof/>
          <w:lang w:eastAsia="uk-UA"/>
        </w:rPr>
        <w:drawing>
          <wp:inline distT="0" distB="0" distL="0" distR="0">
            <wp:extent cx="3800475" cy="1990725"/>
            <wp:effectExtent l="0" t="0" r="9525" b="9525"/>
            <wp:docPr id="2" name="Рисунок 2" descr="C:\Users\Наталья\Documents\image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9A5" w:rsidRPr="002F2E48" w:rsidRDefault="004D19A5">
      <w:pPr>
        <w:rPr>
          <w:rFonts w:ascii="Corbel" w:eastAsia="+mj-ea" w:hAnsi="Corbel" w:cs="+mj-cs"/>
          <w:b/>
          <w:caps/>
          <w:color w:val="4472C4" w:themeColor="accent5"/>
          <w:kern w:val="24"/>
          <w:sz w:val="40"/>
          <w:szCs w:val="40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163053D4" wp14:editId="6604C64C">
                <wp:extent cx="304800" cy="304800"/>
                <wp:effectExtent l="0" t="0" r="0" b="0"/>
                <wp:docPr id="1" name="AutoShape 1" descr="https://uahistory.co/pidruchniki/yaroshenko-chemistry-9-class-2017/yaroshenko-chemistry-9-class-2017.files/image17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42336" id="AutoShape 1" o:spid="_x0000_s1026" alt="https://uahistory.co/pidruchniki/yaroshenko-chemistry-9-class-2017/yaroshenko-chemistry-9-class-2017.files/image17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7zGOafICAAA3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="00736B27" w:rsidRPr="008D2072">
        <w:rPr>
          <w:rFonts w:ascii="Corbel" w:eastAsia="+mj-ea" w:hAnsi="Corbel" w:cs="+mj-cs"/>
          <w:b/>
          <w:caps/>
          <w:color w:val="4472C4" w:themeColor="accent5"/>
          <w:kern w:val="24"/>
          <w:sz w:val="40"/>
          <w:szCs w:val="40"/>
          <w:u w:val="single"/>
          <w:lang w:val="ru-RU"/>
        </w:rPr>
        <w:t>Український прорив</w:t>
      </w:r>
      <w:r w:rsidR="00736B27" w:rsidRPr="002F2E48">
        <w:rPr>
          <w:rFonts w:ascii="Corbel" w:eastAsia="+mj-ea" w:hAnsi="Corbel" w:cs="+mj-cs"/>
          <w:b/>
          <w:caps/>
          <w:color w:val="4472C4" w:themeColor="accent5"/>
          <w:kern w:val="24"/>
          <w:sz w:val="40"/>
          <w:szCs w:val="40"/>
          <w:lang w:val="ru-RU"/>
        </w:rPr>
        <w:t xml:space="preserve">: Наукові відкриття і </w:t>
      </w:r>
      <w:bookmarkStart w:id="0" w:name="_GoBack"/>
      <w:bookmarkEnd w:id="0"/>
      <w:r w:rsidR="00736B27" w:rsidRPr="002F2E48">
        <w:rPr>
          <w:rFonts w:ascii="Corbel" w:eastAsia="+mj-ea" w:hAnsi="Corbel" w:cs="+mj-cs"/>
          <w:b/>
          <w:caps/>
          <w:color w:val="4472C4" w:themeColor="accent5"/>
          <w:kern w:val="24"/>
          <w:sz w:val="40"/>
          <w:szCs w:val="40"/>
          <w:lang w:val="ru-RU"/>
        </w:rPr>
        <w:t>винаходи</w:t>
      </w:r>
      <w:r w:rsidR="002F2E48" w:rsidRPr="002F2E48">
        <w:rPr>
          <w:rFonts w:ascii="Corbel" w:eastAsia="+mj-ea" w:hAnsi="Corbel" w:cs="+mj-cs"/>
          <w:b/>
          <w:caps/>
          <w:color w:val="4472C4" w:themeColor="accent5"/>
          <w:kern w:val="24"/>
          <w:sz w:val="40"/>
          <w:szCs w:val="40"/>
          <w:lang w:val="ru-RU"/>
        </w:rPr>
        <w:t>:</w:t>
      </w:r>
    </w:p>
    <w:p w:rsidR="002F2E48" w:rsidRDefault="002F2E48" w:rsidP="002F2E48">
      <w:pPr>
        <w:pStyle w:val="a3"/>
        <w:spacing w:before="82" w:beforeAutospacing="0" w:after="120" w:afterAutospacing="0" w:line="264" w:lineRule="auto"/>
      </w:pPr>
      <w:r>
        <w:rPr>
          <w:rFonts w:ascii="Corbel" w:eastAsia="+mn-ea" w:hAnsi="Corbel" w:cs="+mn-cs"/>
          <w:b/>
          <w:bCs/>
          <w:color w:val="404040"/>
          <w:kern w:val="24"/>
          <w:sz w:val="34"/>
          <w:szCs w:val="34"/>
          <w:lang w:val="ru-RU"/>
        </w:rPr>
        <w:t>ГІДРОСТРУМЕНЕВИЙ СКАЛЬПЕЛЬ</w:t>
      </w:r>
    </w:p>
    <w:p w:rsidR="002F2E48" w:rsidRPr="002F2E48" w:rsidRDefault="002F2E48" w:rsidP="002F2E48">
      <w:pPr>
        <w:pStyle w:val="a6"/>
        <w:numPr>
          <w:ilvl w:val="0"/>
          <w:numId w:val="1"/>
        </w:numPr>
        <w:spacing w:line="264" w:lineRule="auto"/>
        <w:rPr>
          <w:color w:val="1CADE4"/>
          <w:sz w:val="28"/>
          <w:szCs w:val="28"/>
        </w:rPr>
      </w:pP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Ідея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різати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людські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органи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водяним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струменем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спала на думку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інженерам-авіаторам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. Вони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винаходили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гідроструменеві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технології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для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різання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сталі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та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каменю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. І, взявши за основу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технології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що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використовуються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в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авіапромисловості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юні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уми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під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керівництвом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професора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Віктора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Бочарова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винайшли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в 2012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році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рідинний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lastRenderedPageBreak/>
        <w:t>струменевий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скальпель. Як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зі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шприца,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із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скальпеля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під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великим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тиском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б'є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тонкий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струмінь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води.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Він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ріже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тканину та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капіляри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не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пошкоджуючи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великі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судини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.</w:t>
      </w:r>
    </w:p>
    <w:p w:rsidR="002F2E48" w:rsidRPr="002F2E48" w:rsidRDefault="002F2E48" w:rsidP="002F2E48">
      <w:pPr>
        <w:pStyle w:val="a6"/>
        <w:numPr>
          <w:ilvl w:val="0"/>
          <w:numId w:val="1"/>
        </w:numPr>
        <w:spacing w:line="264" w:lineRule="auto"/>
        <w:rPr>
          <w:color w:val="1CADE4"/>
          <w:sz w:val="28"/>
          <w:szCs w:val="28"/>
        </w:rPr>
      </w:pPr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Одними з перших 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проведенні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складних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оперативних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втручань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гідроструменевий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скальпель почали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використовувати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хірурги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Київської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міської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клінічної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лікарні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№ 1.</w:t>
      </w:r>
    </w:p>
    <w:p w:rsidR="002F2E48" w:rsidRPr="002F2E48" w:rsidRDefault="002F2E48">
      <w:pPr>
        <w:rPr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9A8F9DD" wp14:editId="72865F8F">
            <wp:simplePos x="0" y="0"/>
            <wp:positionH relativeFrom="margin">
              <wp:posOffset>1539240</wp:posOffset>
            </wp:positionH>
            <wp:positionV relativeFrom="paragraph">
              <wp:posOffset>200025</wp:posOffset>
            </wp:positionV>
            <wp:extent cx="3028950" cy="1651000"/>
            <wp:effectExtent l="0" t="0" r="0" b="6350"/>
            <wp:wrapSquare wrapText="bothSides"/>
            <wp:docPr id="10246" name="Picture 6" descr="Зроблено в Україні!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A548368A-48D0-4541-B14B-B2E466FCC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6" descr="Зроблено в Україні!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A548368A-48D0-4541-B14B-B2E466FCCA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51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9A5" w:rsidRDefault="002F2E48">
      <w:r>
        <w:br w:type="textWrapping" w:clear="all"/>
        <w:t xml:space="preserve">   </w:t>
      </w:r>
    </w:p>
    <w:p w:rsidR="002F2E48" w:rsidRDefault="002F2E48" w:rsidP="002F2E48">
      <w:pPr>
        <w:pStyle w:val="a3"/>
        <w:spacing w:before="82" w:beforeAutospacing="0" w:after="120" w:afterAutospacing="0" w:line="264" w:lineRule="auto"/>
      </w:pPr>
      <w:r>
        <w:rPr>
          <w:rFonts w:ascii="Corbel" w:eastAsia="+mn-ea" w:hAnsi="Corbel" w:cs="+mn-cs"/>
          <w:b/>
          <w:bCs/>
          <w:color w:val="404040"/>
          <w:kern w:val="24"/>
          <w:sz w:val="34"/>
          <w:szCs w:val="34"/>
          <w:lang w:val="ru-RU"/>
        </w:rPr>
        <w:t>ТИТАНОВИЙ ЕНДОПРОТЕЗ</w:t>
      </w:r>
    </w:p>
    <w:p w:rsidR="002F2E48" w:rsidRPr="002F2E48" w:rsidRDefault="002F2E48" w:rsidP="002F2E48">
      <w:pPr>
        <w:pStyle w:val="a6"/>
        <w:numPr>
          <w:ilvl w:val="0"/>
          <w:numId w:val="2"/>
        </w:numPr>
        <w:spacing w:line="264" w:lineRule="auto"/>
        <w:rPr>
          <w:color w:val="1CADE4"/>
          <w:sz w:val="28"/>
          <w:szCs w:val="28"/>
        </w:rPr>
      </w:pPr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У 2015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році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учені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з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Національної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академії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наук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України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представили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ендопротез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кульшового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суглоба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виконаний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з титану.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Розробка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істотно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дешевша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західних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аналогів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.</w:t>
      </w:r>
    </w:p>
    <w:p w:rsidR="002F2E48" w:rsidRPr="002F2E48" w:rsidRDefault="002F2E48" w:rsidP="002F2E48">
      <w:pPr>
        <w:pStyle w:val="a6"/>
        <w:numPr>
          <w:ilvl w:val="0"/>
          <w:numId w:val="2"/>
        </w:numPr>
        <w:spacing w:line="264" w:lineRule="auto"/>
        <w:rPr>
          <w:color w:val="1CADE4"/>
          <w:sz w:val="28"/>
          <w:szCs w:val="28"/>
        </w:rPr>
      </w:pPr>
      <w:r w:rsidRPr="002F2E48">
        <w:rPr>
          <w:rFonts w:ascii="Corbel" w:eastAsia="+mn-ea" w:hAnsi="Corbel" w:cs="+mn-cs"/>
          <w:color w:val="404040"/>
          <w:kern w:val="24"/>
          <w:sz w:val="28"/>
          <w:szCs w:val="28"/>
        </w:rPr>
        <w:t xml:space="preserve">Розробники розповіли, що титанові ендопротези є найкращим рішенням для імплантації в організм – метал демонструє високу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</w:rPr>
        <w:t>біосумісність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</w:rPr>
        <w:t xml:space="preserve"> і не відторгається тканинами тіла людини, на відміну від часто використовуваного сплаву кобальту, хрому і молібдену.</w:t>
      </w:r>
    </w:p>
    <w:p w:rsidR="002F2E48" w:rsidRPr="002F2E48" w:rsidRDefault="002F2E48" w:rsidP="002F2E48">
      <w:pPr>
        <w:pStyle w:val="a6"/>
        <w:numPr>
          <w:ilvl w:val="0"/>
          <w:numId w:val="2"/>
        </w:numPr>
        <w:spacing w:line="264" w:lineRule="auto"/>
        <w:rPr>
          <w:color w:val="1CADE4"/>
          <w:sz w:val="28"/>
          <w:szCs w:val="28"/>
        </w:rPr>
      </w:pP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Інша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чеснота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українського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винаходу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–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надвисока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зносостійкість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.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Він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зношується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у 6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разів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повільніше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ніж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будь-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який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інший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сучасний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аналог.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Імовірність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крихкого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руйнування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при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цьому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повністю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виключається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.</w:t>
      </w:r>
    </w:p>
    <w:p w:rsidR="002F2E48" w:rsidRPr="002F2E48" w:rsidRDefault="002F2E48" w:rsidP="002F2E48">
      <w:pPr>
        <w:pStyle w:val="a6"/>
        <w:numPr>
          <w:ilvl w:val="0"/>
          <w:numId w:val="2"/>
        </w:numPr>
        <w:spacing w:line="264" w:lineRule="auto"/>
        <w:rPr>
          <w:color w:val="1CADE4"/>
          <w:sz w:val="28"/>
          <w:szCs w:val="28"/>
        </w:rPr>
      </w:pPr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результаті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проведених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досліджень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(а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саме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- "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проходження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" шляху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тертя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рівного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200 км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або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23 млн циклам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навантаження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)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учені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не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виявили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ніяких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ознак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зносу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. При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цьому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їхня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розробка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дозволяє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людині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вільно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рухатися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, не </w:t>
      </w:r>
      <w:proofErr w:type="spellStart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>відчуваючи</w:t>
      </w:r>
      <w:proofErr w:type="spellEnd"/>
      <w:r w:rsidRPr="002F2E48">
        <w:rPr>
          <w:rFonts w:ascii="Corbel" w:eastAsia="+mn-ea" w:hAnsi="Corbel" w:cs="+mn-cs"/>
          <w:color w:val="404040"/>
          <w:kern w:val="24"/>
          <w:sz w:val="28"/>
          <w:szCs w:val="28"/>
          <w:lang w:val="ru-RU"/>
        </w:rPr>
        <w:t xml:space="preserve"> дискомфорту.</w:t>
      </w:r>
    </w:p>
    <w:p w:rsidR="004D19A5" w:rsidRPr="008D2072" w:rsidRDefault="008D2072">
      <w:pPr>
        <w:rPr>
          <w:sz w:val="28"/>
          <w:szCs w:val="28"/>
        </w:rPr>
      </w:pPr>
      <w:r>
        <w:rPr>
          <w:noProof/>
          <w:lang w:eastAsia="uk-UA"/>
        </w:rPr>
        <w:t xml:space="preserve">                                                                  </w:t>
      </w:r>
      <w:r w:rsidR="002F2E48">
        <w:rPr>
          <w:noProof/>
          <w:lang w:eastAsia="uk-UA"/>
        </w:rPr>
        <w:drawing>
          <wp:inline distT="0" distB="0" distL="0" distR="0" wp14:anchorId="29A0C8C4" wp14:editId="1842BFB4">
            <wp:extent cx="3009900" cy="1800860"/>
            <wp:effectExtent l="0" t="0" r="0" b="8890"/>
            <wp:docPr id="14338" name="Picture 2" descr="Ендопротезування |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029DC3AA-1129-4506-A248-4CF0030F7D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Ендопротезування |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029DC3AA-1129-4506-A248-4CF0030F7D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64" cy="180143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F2E48" w:rsidRPr="008D2072" w:rsidRDefault="002F2E48" w:rsidP="002F2E48">
      <w:pPr>
        <w:pStyle w:val="a6"/>
        <w:numPr>
          <w:ilvl w:val="0"/>
          <w:numId w:val="3"/>
        </w:numPr>
        <w:spacing w:line="264" w:lineRule="auto"/>
        <w:rPr>
          <w:color w:val="1CADE4"/>
          <w:sz w:val="28"/>
          <w:szCs w:val="28"/>
        </w:rPr>
      </w:pPr>
      <w:r w:rsidRPr="008D2072">
        <w:rPr>
          <w:rFonts w:ascii="Corbel" w:eastAsia="+mn-ea" w:hAnsi="Corbel" w:cs="+mn-cs"/>
          <w:color w:val="404040"/>
          <w:kern w:val="24"/>
          <w:sz w:val="28"/>
          <w:szCs w:val="28"/>
        </w:rPr>
        <w:lastRenderedPageBreak/>
        <w:t xml:space="preserve">Розроблений новий засіб для лікування вірусного гепатиту С людини, який є високоефективним, має комбіновану антивірусну та </w:t>
      </w:r>
      <w:proofErr w:type="spellStart"/>
      <w:r w:rsidRPr="008D2072">
        <w:rPr>
          <w:rFonts w:ascii="Corbel" w:eastAsia="+mn-ea" w:hAnsi="Corbel" w:cs="+mn-cs"/>
          <w:color w:val="404040"/>
          <w:kern w:val="24"/>
          <w:sz w:val="28"/>
          <w:szCs w:val="28"/>
        </w:rPr>
        <w:t>гепатопротекторну</w:t>
      </w:r>
      <w:proofErr w:type="spellEnd"/>
      <w:r w:rsidRPr="008D2072">
        <w:rPr>
          <w:rFonts w:ascii="Corbel" w:eastAsia="+mn-ea" w:hAnsi="Corbel" w:cs="+mn-cs"/>
          <w:color w:val="404040"/>
          <w:kern w:val="24"/>
          <w:sz w:val="28"/>
          <w:szCs w:val="28"/>
        </w:rPr>
        <w:t xml:space="preserve"> дію, є нетоксичним для людини та тварин, не потребує допоміжних речовин та має значно нижчу собівартість порівняно з існуючими лікарськими засобами іноземного виробництва.</w:t>
      </w:r>
    </w:p>
    <w:p w:rsidR="002F2E48" w:rsidRDefault="002F2E48">
      <w:r>
        <w:rPr>
          <w:noProof/>
          <w:lang w:eastAsia="uk-UA"/>
        </w:rPr>
        <w:drawing>
          <wp:inline distT="0" distB="0" distL="0" distR="0" wp14:anchorId="5579774A" wp14:editId="518DF98F">
            <wp:extent cx="6410325" cy="4676775"/>
            <wp:effectExtent l="0" t="0" r="9525" b="9525"/>
            <wp:docPr id="18434" name="Picture 2" descr="https://ukrpatent.org/i_upload/vynakhid-roku-062020-21.jpg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B6911A1B-0490-4728-B7A1-7191C0C21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https://ukrpatent.org/i_upload/vynakhid-roku-062020-21.jpg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B6911A1B-0490-4728-B7A1-7191C0C218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76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D19A5" w:rsidRDefault="004D19A5" w:rsidP="004D19A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ВИСНОВКИ</w:t>
      </w:r>
    </w:p>
    <w:p w:rsidR="004D19A5" w:rsidRDefault="004D19A5" w:rsidP="004D19A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Позитивні зміни в житті людства, кожної людини значною мірою зобов’язані досягненням хімії. Ця наука посідає почесне місце серед фундаментальних наук. Видатним ученим-хімікам щороку присуджують Нобелівську премію.</w:t>
      </w:r>
    </w:p>
    <w:p w:rsidR="004D19A5" w:rsidRDefault="004D19A5" w:rsidP="004D19A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Хімічна наука в Україні розвивається в інститутах Національної академії наук, на хімічних факультетах університетів. Чимало українських хіміків заснували дослідницькі заклади, створили наукові школи, внесок яких у світову науку є досить вагомим.</w:t>
      </w:r>
    </w:p>
    <w:p w:rsidR="004D19A5" w:rsidRPr="008D2072" w:rsidRDefault="008D2072" w:rsidP="004D19A5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  <w:r w:rsidRPr="008D2072">
        <w:rPr>
          <w:rFonts w:ascii="Arial" w:hAnsi="Arial" w:cs="Arial"/>
          <w:b/>
          <w:color w:val="292B2C"/>
        </w:rPr>
        <w:t>Завдання.</w:t>
      </w:r>
    </w:p>
    <w:p w:rsidR="00736B27" w:rsidRPr="008D2072" w:rsidRDefault="008D2072" w:rsidP="008D2072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8D2072">
        <w:rPr>
          <w:rFonts w:ascii="Arial" w:hAnsi="Arial" w:cs="Arial"/>
          <w:b/>
          <w:color w:val="292B2C"/>
        </w:rPr>
        <w:t>Опрацюйте</w:t>
      </w:r>
      <w:r>
        <w:rPr>
          <w:rFonts w:ascii="Arial" w:hAnsi="Arial" w:cs="Arial"/>
          <w:color w:val="292B2C"/>
          <w:sz w:val="23"/>
          <w:szCs w:val="23"/>
        </w:rPr>
        <w:t xml:space="preserve"> </w:t>
      </w:r>
      <w:r w:rsidR="002F2E48" w:rsidRPr="008D2072">
        <w:rPr>
          <w:rFonts w:ascii="Arial" w:hAnsi="Arial" w:cs="Arial"/>
          <w:b/>
          <w:bCs/>
          <w:color w:val="292B2C"/>
          <w:kern w:val="36"/>
          <w:sz w:val="48"/>
          <w:szCs w:val="48"/>
        </w:rPr>
        <w:t>§ 42</w:t>
      </w:r>
      <w:r>
        <w:rPr>
          <w:rFonts w:ascii="Arial" w:hAnsi="Arial" w:cs="Arial"/>
          <w:b/>
          <w:bCs/>
          <w:color w:val="292B2C"/>
          <w:kern w:val="36"/>
          <w:sz w:val="48"/>
          <w:szCs w:val="48"/>
        </w:rPr>
        <w:t>.</w:t>
      </w:r>
    </w:p>
    <w:p w:rsidR="008D2072" w:rsidRPr="008D2072" w:rsidRDefault="008D2072" w:rsidP="008D2072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8D2072">
        <w:rPr>
          <w:rFonts w:ascii="Arial" w:hAnsi="Arial" w:cs="Arial"/>
          <w:b/>
          <w:bCs/>
          <w:color w:val="292B2C"/>
          <w:kern w:val="36"/>
          <w:sz w:val="28"/>
          <w:szCs w:val="28"/>
        </w:rPr>
        <w:t>Перегляньте відео:</w:t>
      </w:r>
    </w:p>
    <w:p w:rsidR="004D19A5" w:rsidRPr="008D2072" w:rsidRDefault="00736B27" w:rsidP="008D2072">
      <w:pPr>
        <w:rPr>
          <w:sz w:val="24"/>
          <w:szCs w:val="24"/>
        </w:rPr>
      </w:pPr>
      <w:hyperlink r:id="rId9" w:history="1">
        <w:r w:rsidRPr="008D2072">
          <w:rPr>
            <w:rStyle w:val="a5"/>
            <w:sz w:val="24"/>
            <w:szCs w:val="24"/>
          </w:rPr>
          <w:t>https://www.youtube.com/watch?v=FtO1y1R6tkY&amp;t=2s</w:t>
        </w:r>
      </w:hyperlink>
      <w:r w:rsidRPr="008D2072">
        <w:rPr>
          <w:sz w:val="24"/>
          <w:szCs w:val="24"/>
        </w:rPr>
        <w:t xml:space="preserve"> </w:t>
      </w:r>
    </w:p>
    <w:sectPr w:rsidR="004D19A5" w:rsidRPr="008D2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4F16"/>
    <w:multiLevelType w:val="hybridMultilevel"/>
    <w:tmpl w:val="63AC281C"/>
    <w:lvl w:ilvl="0" w:tplc="2E04A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715C"/>
    <w:multiLevelType w:val="hybridMultilevel"/>
    <w:tmpl w:val="2FA8AD30"/>
    <w:lvl w:ilvl="0" w:tplc="7FF4179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063AB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E4AA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0469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904F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AE8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F614A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EE22B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6631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C4254A0"/>
    <w:multiLevelType w:val="hybridMultilevel"/>
    <w:tmpl w:val="77C07070"/>
    <w:lvl w:ilvl="0" w:tplc="1C2E9A7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40D4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C2F51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C0342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80EB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4ED2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9EC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DAA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56F3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0590FD1"/>
    <w:multiLevelType w:val="hybridMultilevel"/>
    <w:tmpl w:val="E9F27BD8"/>
    <w:lvl w:ilvl="0" w:tplc="6DBEA8F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4A14C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72625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4E39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361A6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B0BB0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AEF0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9CC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62F1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A5"/>
    <w:rsid w:val="002F2E48"/>
    <w:rsid w:val="004D19A5"/>
    <w:rsid w:val="00736B27"/>
    <w:rsid w:val="008D2072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69114-7712-48DA-91A5-7A9E9A4D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1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D19A5"/>
    <w:rPr>
      <w:b/>
      <w:bCs/>
    </w:rPr>
  </w:style>
  <w:style w:type="character" w:styleId="a5">
    <w:name w:val="Hyperlink"/>
    <w:basedOn w:val="a0"/>
    <w:uiPriority w:val="99"/>
    <w:unhideWhenUsed/>
    <w:rsid w:val="00736B2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F2E4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96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70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53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76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717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71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05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tO1y1R6tkY&amp;t=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2617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2022-05-25T10:40:00Z</dcterms:created>
  <dcterms:modified xsi:type="dcterms:W3CDTF">2022-05-25T11:22:00Z</dcterms:modified>
</cp:coreProperties>
</file>