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0F766E"/>
          <w:sz w:val="40"/>
          <w:szCs w:val="40"/>
        </w:rPr>
        <w:t xml:space="preserve">SecondMedic Staff Portal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Company-Wide HR, Attendance &amp; Payroll Policy Manual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Document Version: 2026.1  |  Applicable Country: India (IST)  |  Status: Active Production Policy</w:t>
      </w:r>
    </w:p>
    <w:p>
      <w:pPr>
        <w:pStyle w:val="Heading1"/>
        <w:spacing w:after="120" w:before="280"/>
      </w:pPr>
      <w:r>
        <w:t xml:space="preserve">Executive Summary &amp; Scope</w:t>
      </w:r>
    </w:p>
    <w:p>
      <w:pPr>
        <w:spacing w:after="10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This policy document outlines the operating rules, statutory compliance guidelines, attendance standards, leave administration, compensation mechanics, and access governance implemented within the SecondMedic Staff Portal (https://staffportal.secondmedic.workers.dev/).</w:t>
      </w:r>
    </w:p>
    <w:p>
      <w:pPr>
        <w:spacing w:after="10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All employees, team leads, department heads, HR personnel, and payroll administrators are governed by these standardized provisions to ensure transparency, statutory adherence, and equitable treatment across the organisation.</w:t>
      </w:r>
    </w:p>
    <w:p>
      <w:pPr>
        <w:pStyle w:val="Heading1"/>
        <w:spacing w:after="120" w:before="280"/>
      </w:pPr>
      <w:r>
        <w:t xml:space="preserve">1. Working Hours &amp; Shift Policy</w:t>
      </w:r>
    </w:p>
    <w:p>
      <w:pPr>
        <w:spacing w:after="10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SecondMedic operates on Indian Standard Time (IST, UTC+5:30). Standard business operations require consistent presence to service clinical and operational workflows: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Standard Shift Start: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09:30 AM IST.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Standard Shift End: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06:00 PM (18:00) IST.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Grace Window: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30 Minutes. Punches between 09:31 AM and 10:00 AM are accommodated without disciplinary mark. Any punch-in recorded at 10:01 AM or later is automatically logged as a Late Mark.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Full-Day Requirement: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Minimum 8.0 hours of recorded work. Qualifies the employee for 1.0 paid day.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Half-Day Requirement: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Minimum 4.0 hours and under 8.0 hours. Qualifies for 0.5 paid day.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Loss of Pay Threshold: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Working duration below 4.0 hours is treated as Loss of Pay (LOP) for the date.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Weekly Offs: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Sunday is designated as the mandatory weekly off across standard rotations.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00"/>
      </w:tblGrid>
      <w:tr>
        <w:tc>
          <w:tcPr>
            <w:tcW w:type="dxa" w:w="3000"/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Parameter</w:t>
            </w:r>
          </w:p>
        </w:tc>
        <w:tc>
          <w:tcPr>
            <w:tcW w:type="dxa" w:w="2500"/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Configured Value</w:t>
            </w:r>
          </w:p>
        </w:tc>
        <w:tc>
          <w:tcPr>
            <w:tcW w:type="dxa" w:w="3500"/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Policy Impact</w:t>
            </w:r>
          </w:p>
        </w:tc>
      </w:tr>
      <w:tr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Shift Start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09:30 AM IST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Official commencement of duty.</w:t>
            </w:r>
          </w:p>
        </w:tc>
      </w:tr>
      <w:tr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Shift End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18:00 (06:00 PM) IST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Official closure of general shift.</w:t>
            </w:r>
          </w:p>
        </w:tc>
      </w:tr>
      <w:tr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Grace Period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 minutes (till 10:00 AM)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Punches after 10:00 AM marked Late.</w:t>
            </w:r>
          </w:p>
        </w:tc>
      </w:tr>
      <w:tr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Full Day Min Hours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8.0 Hours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1.0 Payable Day.</w:t>
            </w:r>
          </w:p>
        </w:tc>
      </w:tr>
      <w:tr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Half Day Min Hours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4.0 Hours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0.5 Payable Day (under 4h = LOP).</w:t>
            </w:r>
          </w:p>
        </w:tc>
      </w:tr>
    </w:tbl>
    <w:p>
      <w:pPr>
        <w:pStyle w:val="Heading1"/>
        <w:spacing w:after="120" w:before="280"/>
      </w:pPr>
      <w:r>
        <w:t xml:space="preserve">2. Attendance &amp; Late Marks Policy</w:t>
      </w:r>
    </w:p>
    <w:p>
      <w:pPr>
        <w:spacing w:after="10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The portal implements automated attendance tracking coupled with payroll deduction formulas: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Late Mark Salary Deduction: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For every three (3) late marks accumulated by an employee within a calendar month, a half-day Loss of Pay (0.5 LOP) is automatically deducted from monthly salary.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Missing Punch-Out: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An unregularized punch-in without a corresponding punch-out is recognized and remunerated as half-day (0.5).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Attendance Regularization: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If an employee experiences technical issues, biometric failure, or field assignment delays, they may submit a Regularization Request specifying expected times and reason. Approval is required from their reporting manager.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Punch Idempotency: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Multiple punch attempts on the same date preserve the first punch-in and last punch-out to prevent artificial truncation of hours.</w:t>
      </w:r>
    </w:p>
    <w:p>
      <w:pPr>
        <w:pStyle w:val="Heading1"/>
        <w:spacing w:after="120" w:before="280"/>
      </w:pPr>
      <w:r>
        <w:t xml:space="preserve">3. Leave Policy &amp; Entitlement Engine</w:t>
      </w:r>
    </w:p>
    <w:p>
      <w:pPr>
        <w:spacing w:after="10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The leave architecture balances employee wellness with uninterrupted patient and clinical operations: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1600"/>
        <w:gridCol w:w="1300"/>
        <w:gridCol w:w="1600"/>
        <w:gridCol w:w="1600"/>
      </w:tblGrid>
      <w:tr>
        <w:tc>
          <w:tcPr>
            <w:tcW w:type="dxa" w:w="1500"/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Leave Type</w:t>
            </w:r>
          </w:p>
        </w:tc>
        <w:tc>
          <w:tcPr>
            <w:tcW w:type="dxa" w:w="1400"/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Annual Quota</w:t>
            </w:r>
          </w:p>
        </w:tc>
        <w:tc>
          <w:tcPr>
            <w:tcW w:type="dxa" w:w="1600"/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Carry Forward</w:t>
            </w:r>
          </w:p>
        </w:tc>
        <w:tc>
          <w:tcPr>
            <w:tcW w:type="dxa" w:w="1300"/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Half Day?</w:t>
            </w:r>
          </w:p>
        </w:tc>
        <w:tc>
          <w:tcPr>
            <w:tcW w:type="dxa" w:w="1600"/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Medical Doc</w:t>
            </w:r>
          </w:p>
        </w:tc>
        <w:tc>
          <w:tcPr>
            <w:tcW w:type="dxa" w:w="1600"/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Sandwich Rule</w:t>
            </w:r>
          </w:p>
        </w:tc>
      </w:tr>
      <w:tr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Casual Leave (CL)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 Days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Lapses at FY end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Allowed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required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Sick Leave (SL)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 Days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Lapses / Max 15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Allowed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 &gt; 2 days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Disabled</w:t>
            </w:r>
          </w:p>
        </w:tc>
      </w:tr>
      <w:tr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Earned Leave (EL)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 Days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 to 30 Days max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day only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required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Enforced</w:t>
            </w:r>
          </w:p>
        </w:tc>
      </w:tr>
      <w:tr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Maternity (ML)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182 Days (26 wks)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Nil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only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Doctor Certificate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Statutory</w:t>
            </w:r>
          </w:p>
        </w:tc>
      </w:tr>
      <w:tr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Comp-Off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Earned from OT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60 days validity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Allowed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required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Disabled</w:t>
            </w:r>
          </w:p>
        </w:tc>
      </w:tr>
      <w:tr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Loss of Pay (LOP)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Unpaid / As taken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Nil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Allowed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Manager approval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10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/>
      </w:r>
    </w:p>
    <w:p>
      <w:pPr>
        <w:spacing w:after="10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Key Leave Administration Rules: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Sandwich Policy: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When enabled for a category, intervening weekends and declared holidays falling between leave days are debited from the employee quota balance.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Mid-Year Proration: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New joiners receive leave quotas proportional to the remaining months in the Financial Year: Quota = floor((Annual Quota * Months Remaining / 12) * 2) / 2.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Probationary Restrictions: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Staff undergoing statutory probation are not permitted to draw Earned Leave (EL) until formal confirmation.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Approval Routing: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Leave requests up to 3 days require direct Reporting Manager approval. Requests exceeding 3 days require a secondary skip-level authorization from the Manager’s reporting executive. Self-approvals are strictly blocked.</w:t>
      </w:r>
    </w:p>
    <w:p>
      <w:pPr>
        <w:pStyle w:val="Heading1"/>
        <w:spacing w:after="120" w:before="280"/>
      </w:pPr>
      <w:r>
        <w:t xml:space="preserve">4. Overtime &amp; Holiday Work Compensation</w:t>
      </w:r>
    </w:p>
    <w:p>
      <w:pPr>
        <w:spacing w:after="10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Staff required to perform duties on designated weekly off days or mandatory public holidays are entitled to structured compensation: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Eligibility: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Duty performed &gt;= 8.0 hours confers 1.0 Day Credit. Duty performed between 4.0 and 8.0 hours confers 0.5 Day Credit.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Compensation Options: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Compensatory Off (leave credit usable within 60 days) or Overtime Cash Disbursal.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Overtime Disbursal Formula: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Overtime Amount = (Monthly Gross / Days in Month) * Worked Days * 1.0 Multiplier.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Statutory Claim Period: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All claims for off-day duties must be formally lodged within 60 days of the date worked.</w:t>
      </w:r>
    </w:p>
    <w:p>
      <w:pPr>
        <w:pStyle w:val="Heading1"/>
        <w:spacing w:after="120" w:before="280"/>
      </w:pPr>
      <w:r>
        <w:t xml:space="preserve">5. Payroll &amp; Statutory Remuneration Policy (India)</w:t>
      </w:r>
    </w:p>
    <w:p>
      <w:pPr>
        <w:spacing w:after="10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SecondMedic computes remuneration based on strict attendance integration under the Indian labour code: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Calendar Pay Basis: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Gross salary is calculated on a calendar month basis: Payable Gross = (Monthly Gross / Calendar Days in Month) * Payable Days. Unpaid absences and late mark penalties deduct at the daily gross rate.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CTC Decomposition: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Standard Cost-to-Company (CTC) splits allocate 50% to Basic Pay, 40% of Basic to HRA (50% in metro locations), with the remainder designated as Special / Performance Allowances.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Employees Provident Fund (EPF):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12% of Basic Salary, capped at the statutory ceiling of ₹15,000 monthly basic (maximum employee deduction of ₹1,800/month). Employer matches 12% as a CTC benefit.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Employees State Insurance (ESIC):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Applies to staff with monthly gross up to ₹21,000. Employee deduction is 0.75% of Gross; employer contribution is 3.25%.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Professional Tax (PT):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Flat ₹200 monthly deduction across all active payroll months.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Labour Welfare Fund (LWF):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Statutory deduction of ₹25 applied in June (Month 6) and December (Month 12).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Part-Time / Visiting Staff: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Hourly and visiting personnel are remunerated strictly based on certified logged hours multiplied by their contracted hourly rate, without eligibility for paid leave or PT deductions.</w:t>
      </w:r>
    </w:p>
    <w:p>
      <w:pPr>
        <w:pStyle w:val="Heading1"/>
        <w:spacing w:after="120" w:before="280"/>
      </w:pPr>
      <w:r>
        <w:t xml:space="preserve">6. Employee Lifecycle, Onboarding &amp; Exit Protocol</w:t>
      </w:r>
    </w:p>
    <w:p>
      <w:pPr>
        <w:spacing w:after="10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The lifecycle engine enforces multi-department accountability during staff entry and exit: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Onboarding Workflow: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Day -3: Signed offer letter &amp; appointment letter collected by HR.
Day 0: Identity, PAN, Aadhaar, degree verification; IT provisions hardware, email, and clinical HIS credentials; Day 1 welcome.
Day 1: HR policy induction and compliance acknowledgement.
Day 3: Accounts validates bank account, IFSC, PAN, and UAN.
Day 7: Background screening &amp; reference check completion.
Day 14: Manager assigns formal probation deliverables &amp; KPIs.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Offboarding Protocol: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Resignation submission transitions employee status to NOTICE_PERIOD.
LWD -25: HR validates notice period and confirms Last Working Day.
LWD -2: Formal handover and knowledge transfer sign-off by Manager.
LWD 0: IT reclaims all assigned assets (laptops, mobile, SIM, ID badge) and terminates portal/email access.
LWD +30: Full &amp; Final (F&amp;F) settlement disbursed by Accounts including leave encashment.
LWD +30: HR releases Relieving Letter and Experience Certificate.</w:t>
      </w:r>
    </w:p>
    <w:p>
      <w:pPr>
        <w:pStyle w:val="Heading1"/>
        <w:spacing w:after="120" w:before="280"/>
      </w:pPr>
      <w:r>
        <w:t xml:space="preserve">7. IT Assets &amp; Equipment Governance</w:t>
      </w:r>
    </w:p>
    <w:p>
      <w:pPr>
        <w:spacing w:after="10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Company assets represent critical organizational infrastructure subject to careful custody: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Asset Acknowledgement: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Every provisioned laptop, workstation, mobile phone, and corporate SIM card must be digitally acknowledged by the recipient employee upon handoff.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Warranty Tracking: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IT automatically receives alert tickets 60 days before warranty expiry on any active device for scheduled maintenance or refresh.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Incident Reporting: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Loss, theft, or negligent damage must be reported within 24 hours to IT and HR, accompanied by a formal incident description.</w:t>
      </w:r>
    </w:p>
    <w:p>
      <w:pPr>
        <w:pStyle w:val="Heading1"/>
        <w:spacing w:after="120" w:before="280"/>
      </w:pPr>
      <w:r>
        <w:t xml:space="preserve">8. Security, Role-Based Access Control (RBAC) &amp; Governance</w:t>
      </w:r>
    </w:p>
    <w:p>
      <w:pPr>
        <w:spacing w:after="10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The Staff Portal operates under strict least-privilege role boundaries: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EMPLOYEE Role: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Personal attendance, leave applications, own payslip download, asset view, and goal tracking.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MANAGER Role: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Direct reports dashboard, leave approvals, regularization decisions, off-day duty claims, and KPI appraisals.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HR Role: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Staff registration, employee directory, org chart, attendance register, leave policy settings, documents, and recruitment.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ACCOUNTS Role: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Payroll calculation, salary revisions, increments, bank details, tax registers, and payslip distribution.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IT Role: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Hardware asset inventory, provisioning desk, service requests, and hardware recovery.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LEADERSHIP / CEO Role: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Macro headcount metrics, enterprise org chart, department distribution, and executive reporting.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SYSTEM_ADMIN Role: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User security administration, role assignment, and audit log analysis.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Payroll Confidentiality: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All endpoints serving salary structures, bank accounts, and payroll records strictly enforce 403 Forbidden checks for unauthorized users.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Audit Trail: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Every role grant, salary alteration, and payroll generation event is recorded in immutable audit logs with timestamp and user identifier.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2026-10-15T11:17:56.773Z</dcterms:created>
  <dcterms:modified xsi:type="dcterms:W3CDTF">2026-10-15T11:17:56.774Z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