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Cover Letter</w:t>
      </w:r>
    </w:p>
    <w:p>
      <w:r>
        <w:rPr>
          <w:rFonts w:ascii="Times New Roman" w:hAnsi="Times New Roman"/>
          <w:i/>
          <w:sz w:val="20"/>
        </w:rPr>
        <w:t>PeerJ Computer Science Submission</w:t>
      </w:r>
    </w:p>
    <w:p/>
    <w:p>
      <w:r>
        <w:rPr>
          <w:rFonts w:ascii="Times New Roman" w:hAnsi="Times New Roman"/>
          <w:sz w:val="24"/>
        </w:rPr>
        <w:t>Dear Editor,</w:t>
      </w:r>
    </w:p>
    <w:p/>
    <w:p>
      <w:r>
        <w:rPr>
          <w:rFonts w:ascii="Times New Roman" w:hAnsi="Times New Roman"/>
          <w:sz w:val="24"/>
        </w:rPr>
        <w:t>We are pleased to submit our manuscript entitled</w:t>
      </w:r>
    </w:p>
    <w:p>
      <w:r>
        <w:rPr>
          <w:rFonts w:ascii="Times New Roman" w:hAnsi="Times New Roman"/>
          <w:b/>
          <w:sz w:val="24"/>
        </w:rPr>
        <w:t>Benchmarking Memory Decay Architectures for LLM Agent Systems: Ranking Quality Matters More Than Regression Accuracy</w:t>
      </w:r>
    </w:p>
    <w:p>
      <w:r>
        <w:rPr>
          <w:rFonts w:ascii="Times New Roman" w:hAnsi="Times New Roman"/>
          <w:sz w:val="24"/>
        </w:rPr>
        <w:t>for consideration as a Research Article in PeerJ Computer Science.</w:t>
      </w:r>
    </w:p>
    <w:p/>
    <w:p>
      <w:r>
        <w:rPr>
          <w:rFonts w:ascii="Times New Roman" w:hAnsi="Times New Roman"/>
          <w:b/>
          <w:sz w:val="24"/>
        </w:rPr>
        <w:t>Summary</w:t>
      </w:r>
    </w:p>
    <w:p>
      <w:r>
        <w:rPr>
          <w:rFonts w:ascii="Times New Roman" w:hAnsi="Times New Roman"/>
          <w:sz w:val="24"/>
        </w:rPr>
        <w:t>This paper presents the first systematic benchmark of memory decay models for LLM agent systems. We evaluate eight architectures spanning four paradigms (ODE-based, recurrent, exponential, and Transformer) across three datasets using three complementary evaluation paradigms: standard regression, focal weighted regression, and per-timestep ranking quality.</w:t>
      </w:r>
    </w:p>
    <w:p/>
    <w:p>
      <w:r>
        <w:rPr>
          <w:rFonts w:ascii="Times New Roman" w:hAnsi="Times New Roman"/>
          <w:b/>
          <w:sz w:val="24"/>
        </w:rPr>
        <w:t>Key Findings</w:t>
      </w:r>
    </w:p>
    <w:p>
      <w:r>
        <w:rPr>
          <w:rFonts w:ascii="Times New Roman" w:hAnsi="Times New Roman"/>
          <w:sz w:val="24"/>
        </w:rPr>
        <w:t>1. Regression MSE alone cannot differentiate decay architectures; all models converge within 0.015 MSE units on synthetic data (0.079-0.094) (MSE 0.079-0.094).</w:t>
      </w:r>
    </w:p>
    <w:p>
      <w:r>
        <w:rPr>
          <w:rFonts w:ascii="Times New Roman" w:hAnsi="Times New Roman"/>
          <w:sz w:val="24"/>
        </w:rPr>
        <w:t>2. Ranking quality (NDCG@5) reveals meaningful differences: Neural ODE achieves 0.616, significantly above the random baseline of 0.500.</w:t>
      </w:r>
    </w:p>
    <w:p>
      <w:r>
        <w:rPr>
          <w:rFonts w:ascii="Times New Roman" w:hAnsi="Times New Roman"/>
          <w:sz w:val="24"/>
        </w:rPr>
        <w:t>3. Category-conditioned tau analysis refutes the hypothesis that learned time constants encode category-specific decay rates at 8-category granularity.</w:t>
      </w:r>
    </w:p>
    <w:p>
      <w:r>
        <w:rPr>
          <w:rFonts w:ascii="Times New Roman" w:hAnsi="Times New Roman"/>
          <w:sz w:val="24"/>
        </w:rPr>
        <w:t>4. Production deployment on Kylin V10 demonstrates that a 3,665-parameter LTC gate achieves 100.4ms P95 latency with 16.8MB memory footprint.</w:t>
      </w:r>
    </w:p>
    <w:p/>
    <w:p>
      <w:r>
        <w:rPr>
          <w:rFonts w:ascii="Times New Roman" w:hAnsi="Times New Roman"/>
          <w:b/>
          <w:sz w:val="24"/>
        </w:rPr>
        <w:t>Significance for PeerJ Computer Science</w:t>
      </w:r>
    </w:p>
    <w:p>
      <w:r>
        <w:rPr>
          <w:rFonts w:ascii="Times New Roman" w:hAnsi="Times New Roman"/>
          <w:sz w:val="24"/>
        </w:rPr>
        <w:t>Our work addresses a gap at the intersection of agent memory systems and continuous-time neural modeling. The benchmark methodology and theoretical framework (proving when ODE models have convergence advantages) provide actionable guidance for practitioners designing agent memory systems. The finding that ranking quality, not regression MSE, should be the primary evaluation metric has implications beyond memory decay for any temporal relevance scoring task.</w:t>
      </w:r>
    </w:p>
    <w:p/>
    <w:p>
      <w:r>
        <w:rPr>
          <w:rFonts w:ascii="Times New Roman" w:hAnsi="Times New Roman"/>
          <w:b/>
          <w:sz w:val="24"/>
        </w:rPr>
        <w:t>Data and Code Availability</w:t>
      </w:r>
    </w:p>
    <w:p>
      <w:r>
        <w:rPr>
          <w:rFonts w:ascii="Times New Roman" w:hAnsi="Times New Roman"/>
          <w:sz w:val="24"/>
        </w:rPr>
        <w:t>All source code, trained model weights, experimental scripts, and data splits will be publicly available at a Zenodo-archived GitHub repository with a DOI (DOI: 10.5281/zenodo.20650214) prior to publication. The PersonaChat dataset is publicly available from Zhang et al. (2018).</w:t>
      </w:r>
    </w:p>
    <w:p/>
    <w:p>
      <w:r>
        <w:rPr>
          <w:rFonts w:ascii="Times New Roman" w:hAnsi="Times New Roman"/>
          <w:b/>
          <w:sz w:val="24"/>
        </w:rPr>
        <w:t>Prior Reviews</w:t>
      </w:r>
    </w:p>
    <w:p>
      <w:r>
        <w:rPr>
          <w:rFonts w:ascii="Times New Roman" w:hAnsi="Times New Roman"/>
          <w:sz w:val="24"/>
        </w:rPr>
        <w:t>This manuscript has not been previously submitted to or reviewed by any other journal. All authors have approved the final version and agree to its submission.</w:t>
      </w:r>
    </w:p>
    <w:p/>
    <w:p>
      <w:r>
        <w:rPr>
          <w:rFonts w:ascii="Times New Roman" w:hAnsi="Times New Roman"/>
          <w:b/>
          <w:sz w:val="24"/>
        </w:rPr>
        <w:t>Competing Interests</w:t>
      </w:r>
    </w:p>
    <w:p>
      <w:r>
        <w:rPr>
          <w:rFonts w:ascii="Times New Roman" w:hAnsi="Times New Roman"/>
          <w:sz w:val="24"/>
        </w:rPr>
        <w:t>The authors declare no competing financial interests or personal relationships that could have influenced the work reported in this paper.</w:t>
      </w:r>
    </w:p>
    <w:p/>
    <w:p>
      <w:r>
        <w:rPr>
          <w:rFonts w:ascii="Times New Roman" w:hAnsi="Times New Roman"/>
          <w:sz w:val="24"/>
        </w:rPr>
        <w:t>We believe this manuscript is well suited for the readership of PeerJ Computer Science, as it combines rigorous empirical evaluation with practical deployment evidence in a topic of broad interest to the computer science community.</w:t>
      </w:r>
    </w:p>
    <w:p/>
    <w:p>
      <w:r>
        <w:rPr>
          <w:rFonts w:ascii="Times New Roman" w:hAnsi="Times New Roman"/>
          <w:sz w:val="24"/>
        </w:rPr>
        <w:t>Thank you for considering our submission.</w:t>
      </w:r>
    </w:p>
    <w:p/>
    <w:p>
      <w:r>
        <w:rPr>
          <w:rFonts w:ascii="Times New Roman" w:hAnsi="Times New Roman"/>
          <w:sz w:val="24"/>
        </w:rPr>
        <w:t>Sincerely,</w:t>
      </w:r>
    </w:p>
    <w:p/>
    <w:p>
      <w:r>
        <w:rPr>
          <w:rFonts w:ascii="Times New Roman" w:hAnsi="Times New Roman"/>
          <w:sz w:val="24"/>
        </w:rPr>
        <w:t>HanBo Wang</w:t>
      </w:r>
    </w:p>
    <w:p>
      <w:r>
        <w:rPr>
          <w:rFonts w:ascii="Times New Roman" w:hAnsi="Times New Roman"/>
          <w:sz w:val="24"/>
        </w:rPr>
        <w:t>East China Jiaotong University, Nanchang, China</w:t>
      </w:r>
    </w:p>
    <w:p>
      <w:r>
        <w:rPr>
          <w:rFonts w:ascii="Times New Roman" w:hAnsi="Times New Roman"/>
          <w:sz w:val="24"/>
        </w:rPr>
        <w:t>x270704@163.com</w:t>
      </w:r>
    </w:p>
    <w:p>
      <w:r>
        <w:rPr>
          <w:rFonts w:ascii="Times New Roman" w:hAnsi="Times New Roman"/>
          <w:sz w:val="24"/>
        </w:rPr>
        <w:t>2026-06-12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