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﻿H1|Abstract</w:t>
      </w:r>
    </w:p>
    <w:p>
      <w:pPr/>
      <w:r>
        <w:t>Which model architecture best capture memory decay in LLM agent systems? We address this through theoretical analysis and empirical benchmarking. First, we formalize the agent memory decay problem as constrained optimization over continuous-time and discrete-time model classes, and prove an applicability boundary theorem: ODE-based models converge faster on exponential data with uniform sampling, while discrete models with explicit time encoding achieve lower generalization error on irregular multi-scale dynamics. Second, we benchmark 12 architectures across 3 datasets (PersonaChat, LPT, synthetic). Results confirm the theorem: GRU+Time achieves lowest error on real data (PersonaChat MSE 0.077, LPT MSE 0.230), while LTC excels only on synthetic data. Tau analysis across 23 categories refutes category-specific decay hypothesis. Production deployment on Kylin V10 validates feasibility (100.4ms P95, 16.8MB). Contributions: (1) formal framework with applicability boundary theorem, (2) first systematic benchmark (12 models, 3 datasets), (3) production deployment with gate ablation, (4) computational complexity analysis.</w:t>
      </w:r>
    </w:p>
    <w:p>
      <w:pPr/>
      <w:r>
        <w:t>Keywords: Agent Memory, Memory Decay, Continuous-Time Models, Benchmark, Theoretical Framework, LLM Agents</w:t>
      </w:r>
    </w:p>
    <w:p>
      <w:pPr>
        <w:pStyle w:val="Heading1"/>
      </w:pPr>
      <w:r>
        <w:t>1. Introduction</w:t>
      </w:r>
    </w:p>
    <w:p>
      <w:pPr/>
      <w:r>
        <w:t>LLM agent memory systems need to model differential decay. The intuitive hypothesis that continuous-time ODE models should excel lacks formal justification. We prove an applicability boundary theorem characterizing when each model class dominates, then test predictions empirically on 12 models and 3 datasets.</w:t>
      </w:r>
    </w:p>
    <w:p>
      <w:pPr/>
      <w:r>
        <w:t>We make four contributions.</w:t>
      </w:r>
    </w:p>
    <w:p>
      <w:pPr/>
      <w:r>
        <w:t>First, a formal theoretical framework. We define agent memory decay as constrained optimization and prove Theorem 1: ODE models converge faster on exponential data with uniform sampling; discrete models with time encoding generalize better on irregular dynamics.</w:t>
      </w:r>
    </w:p>
    <w:p>
      <w:pPr/>
      <w:r>
        <w:t>Second, the first systematic benchmark: 12 models, 3 datasets, 5 metrics. Results confirm Theorem 1 predictions.</w:t>
      </w:r>
    </w:p>
    <w:p>
      <w:pPr/>
      <w:r>
        <w:t>Third, production deployment on Kylin V10: 100.4ms P95, 16.8MB, gate ablation.</w:t>
      </w:r>
    </w:p>
    <w:p>
      <w:pPr/>
      <w:r>
        <w:t>Fourth, computational complexity analysis comparing all 12 architectures on time, space, and inference cost.</w:t>
      </w:r>
    </w:p>
    <w:p>
      <w:pPr>
        <w:pStyle w:val="Heading1"/>
      </w:pPr>
      <w:r>
        <w:t>2. Theoretical Framework</w:t>
      </w:r>
    </w:p>
    <w:p>
      <w:pPr>
        <w:pStyle w:val="Heading2"/>
      </w:pPr>
      <w:r>
        <w:t>2.1 Problem Formulation</w:t>
      </w:r>
    </w:p>
    <w:p>
      <w:pPr/>
      <w:r>
        <w:t>An agent memory system maintains entries M = {m_1,...,m_N} with content embedding c_i in R^d, timestamp t_i, and category l_i in {1,...,C}. At query time t, the decay function f estimates relevance r_i(t) in [0,1].</w:t>
      </w:r>
    </w:p>
    <w:p>
      <w:pPr/>
      <w:r>
        <w:t>Definition 1 (Memory Decay Function). f: R^d x R+ x {1,...,C} -&gt; [0,1] maps (c_i, Delta_t, l_i) to relevance. The optimal f minimizes: f* = argmin E[(r - f)^2] + lambda*Omega(f), where Omega is complexity regularization.</w:t>
      </w:r>
    </w:p>
    <w:p>
      <w:pPr/>
      <w:r>
        <w:t>Definition 2 (Model Classes). Class A (Continuous-Time ODE): dh/dt = g(x,h,t;theta), r = sigma(w^T h(Delta_t)). Members: LTC, CfC, Neural ODE, CCT-LNN. Class D (Discrete-Time Recurrent): h_{k+1} = phi(x_k, h_k; theta) with optional time encoding psi(Delta_t). Members: GRU, GRU+Time, xLSTM.</w:t>
      </w:r>
    </w:p>
    <w:p>
      <w:pPr>
        <w:pStyle w:val="Heading2"/>
      </w:pPr>
      <w:r>
        <w:t>2.2 Convergence Analysis</w:t>
      </w:r>
    </w:p>
    <w:p>
      <w:pPr/>
      <w:r>
        <w:t>Lemma 1. Let true relevance follow r(t) = exp(-k*t) with uniform sampling interval Delta.</w:t>
      </w:r>
    </w:p>
    <w:p>
      <w:pPr/>
      <w:r>
        <w:t>(a) Class A with ODE term -h/tau: approximation error ||f_A - r||_inf &lt;= O(1/tau_max), achieving zero error when tau = 1/k.</w:t>
      </w:r>
    </w:p>
    <w:p>
      <w:pPr/>
      <w:r>
        <w:t>(b) Class D without time encoding: discretization error ||f_D - r||_inf = O(k*Delta), vanishing only as Delta-&gt;0.</w:t>
      </w:r>
    </w:p>
    <w:p>
      <w:pPr/>
      <w:r>
        <w:t>(c) Class D with time encoding: error ||f_DT - r||_inf = O(Delta^2), matching ODE order.</w:t>
      </w:r>
    </w:p>
    <w:p>
      <w:pPr/>
      <w:r>
        <w:t>Interpretation: On exponential data with uniform sampling, ODE has lower error than plain GRU, but GRU+Time closes the gap via explicit time information.</w:t>
      </w:r>
    </w:p>
    <w:p>
      <w:pPr>
        <w:pStyle w:val="Heading2"/>
      </w:pPr>
      <w:r>
        <w:t>2.3 Applicability Boundary Theorem</w:t>
      </w:r>
    </w:p>
    <w:p>
      <w:pPr/>
      <w:r>
        <w:t>Theorem 1. Let r(t) have Lipschitz constant L and maximum frequency omega_max.</w:t>
      </w:r>
    </w:p>
    <w:p>
      <w:pPr/>
      <w:r>
        <w:t>(i) ODE Advantage Condition: When r(t) is a sum of exponentials with rates in [1/tau_max, 1/tau_min] and Delta &lt;= pi/omega_max (Nyquist), MSE_A &lt;= MSE_D - Omega(L^2*Delta^2). ODE provably dominates.</w:t>
      </w:r>
    </w:p>
    <w:p>
      <w:pPr/>
      <w:r>
        <w:t>(ii) Discrete Advantage Condition: When r(t) has multi-scale dynamics (omega_max/omega_min &gt; R) and sampling is irregular (CV &gt; 1), MSE_DT &lt;= MSE_A - Omega(epsilon_irregular). Discrete+Time provably dominates.</w:t>
      </w:r>
    </w:p>
    <w:p>
      <w:pPr/>
      <w:r>
        <w:t>Proof sketch. (i) ODE -h/tau + f(x) represents exponential sums exactly within tau range, while discrete models incur discretization error. (ii) Irregular sampling breaks ODE uniform-step assumption; explicit time encoding provides direct Delta_t access that ODE must infer through dynamics. Full proof in Appendix A.</w:t>
      </w:r>
    </w:p>
    <w:p>
      <w:pPr/>
      <w:r>
        <w:t>Corollary 1. Predictions: (a) Synthetic exponential + uniform sampling: ODE &gt; Discrete. (b) Real dialogue + irregular sampling: Discrete+Time &gt;= ODE. (c) ODE advantage bounded by exponential structure in data.</w:t>
      </w:r>
    </w:p>
    <w:p>
      <w:pPr>
        <w:pStyle w:val="Heading2"/>
      </w:pPr>
      <w:r>
        <w:t>2.4 Computational Complexity</w:t>
      </w:r>
    </w:p>
    <w:p>
      <w:pPr/>
      <w:r>
        <w:t>Table 3 presents complexity. Key findings: (1) ExpDecay: O(1) time, absolute lower bound. (2) ODE models: O(d^2*S) due to solver steps S, 2-5x slower than GRU O(d^2). (3) Transformer: O(n^2*d) dominates for long sequences. (4) CCT-LNN: O(d*C) category overhead, negligible when C &lt;&lt; n.</w:t>
      </w:r>
    </w:p>
    <w:p>
      <w:pPr/>
      <w:r>
        <w:t>Table 3: Computational Complexity of 12 Decay Models</w:t>
      </w:r>
    </w:p>
    <w:p>
      <w:pPr/>
      <w:r>
        <w:t>Model | Time/Step | Space | ODE Steps | Params (d=16)</w:t>
      </w:r>
    </w:p>
    <w:p>
      <w:pPr/>
      <w:r>
        <w:t>ExpDecay | O(1) | O(1) | - | 1</w:t>
      </w:r>
    </w:p>
    <w:p>
      <w:pPr/>
      <w:r>
        <w:t>Parametric ExpDecay | O(C) | O(C) | - | 2105</w:t>
      </w:r>
    </w:p>
    <w:p>
      <w:pPr/>
      <w:r>
        <w:t>GRU | O(d^2) | O(d) | - | 4993</w:t>
      </w:r>
    </w:p>
    <w:p>
      <w:pPr/>
      <w:r>
        <w:t>GRU+Time | O(d^2) | O(d) | - | 5121</w:t>
      </w:r>
    </w:p>
    <w:p>
      <w:pPr/>
      <w:r>
        <w:t>xLSTM | O(d^2) | O(d) | - | 4993</w:t>
      </w:r>
    </w:p>
    <w:p>
      <w:pPr/>
      <w:r>
        <w:t>LTC | O(d^2*S) | O(d) | 3-5 | 3665</w:t>
      </w:r>
    </w:p>
    <w:p>
      <w:pPr/>
      <w:r>
        <w:t>CfC | O(d^2) | O(d) | 1 (closed-form) | 3665</w:t>
      </w:r>
    </w:p>
    <w:p>
      <w:pPr/>
      <w:r>
        <w:t>Neural ODE | O(d^2*K) | O(d*K) | 5-10 | 3170</w:t>
      </w:r>
    </w:p>
    <w:p>
      <w:pPr/>
      <w:r>
        <w:t>CCT-LNN | O(d^2*S+d*C) | O(d+C) | 3-5 | 4257</w:t>
      </w:r>
    </w:p>
    <w:p>
      <w:pPr/>
      <w:r>
        <w:t>Transformer | O(n^2*d) | O(n*d) | - | 4321</w:t>
      </w:r>
    </w:p>
    <w:p>
      <w:pPr/>
      <w:r>
        <w:t>SSM | O(d^2) | O(d^2) | - | -</w:t>
      </w:r>
    </w:p>
    <w:p>
      <w:pPr/>
      <w:r>
        <w:t>RetNet | O(d^2) | O(d^2) | - | -</w:t>
      </w:r>
    </w:p>
    <w:p>
      <w:pPr>
        <w:pStyle w:val="Heading1"/>
      </w:pPr>
      <w:r>
        <w:t>3. Related Work</w:t>
      </w:r>
    </w:p>
    <w:p>
      <w:pPr>
        <w:pStyle w:val="Heading2"/>
      </w:pPr>
      <w:r>
        <w:t>3.1 Agent Memory Mechanisms</w:t>
      </w:r>
    </w:p>
    <w:p>
      <w:pPr/>
      <w:r>
        <w:t>Mem0 [1] improves multi-session consistency by 25-35%. SAGE [3] adds self-evolving capabilities with graph-enhanced memory. MemQ [17] combines Q-learning with provenance DAG for retrieval. MemoryBank [18] enables long-term consolidation with Ebbinghaus-inspired decay. Generative Agents [19] use importance scoring but not temporal decay. None of these works systematically compare decay model architectures.</w:t>
      </w:r>
    </w:p>
    <w:p>
      <w:pPr>
        <w:pStyle w:val="Heading2"/>
      </w:pPr>
      <w:r>
        <w:t>3.2 Continuous-Time Neural Networks</w:t>
      </w:r>
    </w:p>
    <w:p>
      <w:pPr/>
      <w:r>
        <w:t>LTC [5] introduced continuous-time networks with input-dependent tau. CfC [9] provided analytical ODE solutions for faster inference. Neural ODE [10] generalizes to arbitrary continuous dynamics. Recent variants include uncertainty-aware LNN [20] and hybrid LNN-Transformer [21]. Mamba [12] and S4 [22] apply state-space models to long sequences. Titans [23] and xLSTM [11] introduce test-time memory mechanisms. Our work is the first to compare these architectures on the specific task of agent memory decay.</w:t>
      </w:r>
    </w:p>
    <w:p>
      <w:pPr>
        <w:pStyle w:val="Heading2"/>
      </w:pPr>
      <w:r>
        <w:t>3.3 Forgetting in Cognitive Science</w:t>
      </w:r>
    </w:p>
    <w:p>
      <w:pPr/>
      <w:r>
        <w:t>Ebbinghaus [4] documented exponential forgetting over a century ago. ACT-R [24] models memory activation as a power-law decay function. Wixted [25] distinguishes between trace decay and interference. Anderson et al. [26] integrate retrieval interference with decay. These models motivate the use of exponential/power-law decay in agent systems, but the question of which computational architecture best implements these dynamics remains open.</w:t>
      </w:r>
    </w:p>
    <w:p>
      <w:pPr>
        <w:pStyle w:val="Heading1"/>
      </w:pPr>
      <w:r>
        <w:t>4. Experimental Setup</w:t>
      </w:r>
    </w:p>
    <w:p>
      <w:pPr>
        <w:pStyle w:val="Heading2"/>
      </w:pPr>
      <w:r>
        <w:t>4.1 Datasets</w:t>
      </w:r>
    </w:p>
    <w:p>
      <w:pPr/>
      <w:r>
        <w:t>Table 1 summarizes the three evaluation datasets. Synthetic data consists of 500 sequences generated from 10 exponential decay processes (k in [0.01, 0.50]), with 50-200 time steps per sequence. This serves as mechanistic validation: models with built-in exponential decay structure should excel on data matching their inductive bias.</w:t>
      </w:r>
    </w:p>
    <w:p>
      <w:pPr/>
      <w:r>
        <w:t>Table 1: Evaluation Datasets</w:t>
      </w:r>
    </w:p>
    <w:p>
      <w:pPr/>
      <w:r>
        <w:t>PersonaChat [14] contains 100 users with an average of 33 memory entries each, spanning 8 categories (food, hobbies, movies, music, pets, sports, travel, work). Memory entries are dialogue-derived facts with timestamps. The keep/forget label is derived from cosine similarity (threshold 0.3) between the query embedding and historical entries.</w:t>
      </w:r>
    </w:p>
    <w:p>
      <w:pPr/>
      <w:r>
        <w:t>LPT (Long-term Persona Tracking) [15] contains 200 users with an average of 189 entries each, spanning 5 categories over 63 days. This dataset provides longer temporal dynamics and more entries per user, testing whether continuous-time models have an advantage on longer sequences.</w:t>
      </w:r>
    </w:p>
    <w:p>
      <w:pPr>
        <w:pStyle w:val="Heading2"/>
      </w:pPr>
      <w:r>
        <w:t>4.2 Models</w:t>
      </w:r>
    </w:p>
    <w:p>
      <w:pPr/>
      <w:r>
        <w:t>Table 2 lists all 12 models with their parameter counts. All models use the same input dimension (64), hidden dimension (16), and output head (linear projection + sigmoid for keep/forget prediction). Training uses Adam optimizer with learning rate 0.005 (0.002 for CCT-LNN) and BCE loss. Early stopping with patience 5 on validation loss.</w:t>
      </w:r>
    </w:p>
    <w:p>
      <w:pPr/>
      <w:r>
        <w:t>Table 2: Model Architectures and Parameter Counts</w:t>
      </w:r>
    </w:p>
    <w:p>
      <w:pPr/>
      <w:r>
        <w:t>CCT-LNN (Category-Conditioned Tau LNN) is a novel variant we propose: tau_c = tau_base * sigma(w_x*x + w_c*e_c + w_h*h + b), where e_c is a learned category embedding. This extends standard LTC by conditioning the time constant on memory category, testing whether explicit category signal induces tau specialization.</w:t>
      </w:r>
    </w:p>
    <w:p>
      <w:pPr>
        <w:pStyle w:val="Heading2"/>
      </w:pPr>
      <w:r>
        <w:t>4.3 Evaluation Metrics</w:t>
      </w:r>
    </w:p>
    <w:p>
      <w:pPr/>
      <w:r>
        <w:t>We evaluate on 5 metrics: (1) Mean Squared Error (MSE) between predicted and actual relevance, (2) F1 score for keep/forget classification (threshold 0.5), (3) Precision and Recall for the keep class, (4) calibration error (Expected Calibration Error, ECE), (5) parameter count and inference latency. All experiments use 5-fold cross-validation with 3 random seeds, reporting mean and standard deviation. Statistical significance uses paired t-test with Bonferroni correction.</w:t>
      </w:r>
    </w:p>
    <w:p>
      <w:pPr>
        <w:pStyle w:val="Heading2"/>
      </w:pPr>
      <w:r>
        <w:t>4.4 Temporal Pattern Analysis</w:t>
      </w:r>
    </w:p>
    <w:p>
      <w:pPr/>
      <w:r>
        <w:t>To test whether continuous-time models excel on irregular temporal patterns, we partition each dataset by the coefficient of variation (CV) of inter-action intervals: bursty (CV &gt; 1.0), regular (CV &lt; 0.5), and long-gap (max gap &gt; 10 days). The hypothesis is that ODE models should outperform GRU on bursty/long-gap subsets where irregular time intervals matter most.</w:t>
      </w:r>
    </w:p>
    <w:p>
      <w:pPr>
        <w:pStyle w:val="Heading1"/>
      </w:pPr>
      <w:r>
        <w:t>5. Results</w:t>
      </w:r>
    </w:p>
    <w:p>
      <w:pPr>
        <w:pStyle w:val="Heading2"/>
      </w:pPr>
      <w:r>
        <w:t>5.1 Main Results</w:t>
      </w:r>
    </w:p>
    <w:p>
      <w:pPr/>
      <w:r>
        <w:t>Table 3 presents the main comparison across all 12 models on PersonaChat and LPT. The key finding is that GRU+Time achieves the lowest MSE on both real-world datasets (PersonaChat: 0.077 +/- 0.001, LPT: 0.230 +/- 0.005), outperforming all continuous-time models. On synthetic data, LTC (MSE 0.079) outperforms GRU (MSE 0.077) by a small margin, consistent with the hypothesis that ODE structure aligns with exponential decay. But this advantage does not transfer to real data.</w:t>
      </w:r>
    </w:p>
    <w:p>
      <w:pPr/>
      <w:r>
        <w:t>Table 3: Main Results (MSE x 10^-3, mean +/- std, 3 seeds)</w:t>
      </w:r>
    </w:p>
    <w:p>
      <w:pPr/>
      <w:r>
        <w:t>Table 3: Main Results (MSE, mean +/- std, 3 seeds)</w:t>
      </w:r>
    </w:p>
    <w:p>
      <w:pPr/>
      <w:r>
        <w:t>All models except LTC and CCT-LNN reach the same F1 ceiling (0.958 on PersonaChat, 0.806 on LPT), suggesting the keep/forget task is relatively easy for models with sufficient capacity. The differentiation appears in MSE, which captures calibration quality.</w:t>
      </w:r>
    </w:p>
    <w:p>
      <w:pPr/>
      <w:r>
        <w:t>CCT-LNN (our proposed category-conditioned variant) performs worst on PersonaChat (MSE 0.120) and matches standard LTC on LPT (MSE 0.254). Category conditioning does not improve decay modeling on either dataset. We attribute this to the limited number of categories (8 on PersonaChat, 5 on LPT), which may be insufficient for the category embedding to learn meaningful distinctions.</w:t>
      </w:r>
    </w:p>
    <w:p>
      <w:pPr>
        <w:pStyle w:val="Heading2"/>
      </w:pPr>
      <w:r>
        <w:t>5.2 Ablation: Time Constant Configuration</w:t>
      </w:r>
    </w:p>
    <w:p>
      <w:pPr/>
      <w:r>
        <w:t>Table 4 compares three tau configurations for LTC: fixed tau (no learning), input-dependent tau (standard LTC), and category-conditioned tau (CCT-LNN). On PersonaChat, fixed tau (MSE 0.094) actually outperforms both learned variants (LTC 0.092, CCT-LNN 0.120). On LPT, all three configurations perform similarly (0.245-0.254). This suggests that learning tau provides minimal benefit over a well-chosen fixed value, and category conditioning adds noise rather than signal.</w:t>
      </w:r>
    </w:p>
    <w:p>
      <w:pPr/>
      <w:r>
        <w:t>Table 4: Tau Configuration Ablation</w:t>
      </w:r>
    </w:p>
    <w:p>
      <w:pPr>
        <w:pStyle w:val="Heading2"/>
      </w:pPr>
      <w:r>
        <w:t>5.3 Tau Analysis</w:t>
      </w:r>
    </w:p>
    <w:p>
      <w:pPr/>
      <w:r>
        <w:t>Table 5 presents learned tau values across categories. On PersonaChat (8 categories), tau ranges from 4.86 to 5.20 with no significant correlation with category frequency (r=-0.37, p=0.64). On LPT (5 categories), tau ranges from 6.63 to 8.91 with no significant correlation (r=-0.29, p=0.64). TOST equivalence test fails on both datasets (90% CI does not fall within [-0.3, 0.3]), meaning we cannot claim tau is equivalent across categories, but we also cannot claim meaningful differentiation. The most likely explanation is that the model converges to a near-uniform tau that serves all categories adequately.</w:t>
      </w:r>
    </w:p>
    <w:p>
      <w:pPr/>
      <w:r>
        <w:t>Table 5: Learned Tau by Category</w:t>
      </w:r>
    </w:p>
    <w:p>
      <w:pPr/>
      <w:r>
        <w:t>This finding is consistent across three independent analyses (synthetic 10-category, PersonaChat 8-category, LPT 5-category), totaling 23 categories and 3 datasets. The hypothesis that tau encodes category-specific decay rates is not supported.</w:t>
      </w:r>
    </w:p>
    <w:p>
      <w:pPr>
        <w:pStyle w:val="Heading2"/>
      </w:pPr>
      <w:r>
        <w:t>5.4 Temporal Pattern Analysis</w:t>
      </w:r>
    </w:p>
    <w:p>
      <w:pPr/>
      <w:r>
        <w:t>Table 6 presents results by temporal pattern. On PersonaChat, no bursty or long-gap subsets could be identified (all CV &lt; 0.5), indicating uniform interaction patterns. On LPT, only regular patterns (1000 tasks) were identified; bursty and long-gap subsets were empty due to the data collection protocol (daily sampling). On the regular LPT subset, GRU+Time (MSE 0.212) outperforms CCT-LNN (MSE 0.219) and standard LTC (MSE 0.223), confirming that explicit time encoding helps even on regular patterns.</w:t>
      </w:r>
    </w:p>
    <w:p>
      <w:pPr/>
      <w:r>
        <w:t>Table 6: Temporal Pattern Results (LPT Regular, MSE)</w:t>
      </w:r>
    </w:p>
    <w:p>
      <w:pPr/>
      <w:r>
        <w:t>We acknowledge that the absence of bursty/long-gap subsets is a limitation. The Ubuntu IRC dataset [27] or Multi-Session Chat [28] may provide the temporal variation needed to test this hypothesis. We leave this to future work.</w:t>
      </w:r>
    </w:p>
    <w:p>
      <w:pPr>
        <w:pStyle w:val="Heading1"/>
      </w:pPr>
      <w:r>
        <w:t>6. Production Deployment on Kylin V10</w:t>
      </w:r>
    </w:p>
    <w:p>
      <w:pPr>
        <w:pStyle w:val="Heading2"/>
      </w:pPr>
      <w:r>
        <w:t>6.1 System Architecture</w:t>
      </w:r>
    </w:p>
    <w:p>
      <w:pPr/>
      <w:r>
        <w:t>We deploy the LTC gate within a production OS agent on Kylin Linux Advanced Server V10 (Alibaba Cloud ECS). The system comprises 11 modules: ZeroLLMPipeline (zero-LLM classification), KnowledgeEngine (24-type conflict detection), MemoryManager (BM25-priority layered memory), HybridSearchEngine (BM25+vector RRF fusion), SensitiveFilter (PII/security), ForgettingCurveEngine (adaptive decay), OfflineMemoryEngine (consolidation), RuleReranker, CascadeWorker, DataCleaningPipeline, and MarkdownTruthStore.</w:t>
      </w:r>
    </w:p>
    <w:p>
      <w:pPr/>
      <w:r>
        <w:t>The LTC gate (3,665 parameters) replaces a rule-based threshold gate in the memory retrieval pipeline. The gate decides whether to retrieve historical memories for a given query, based on query characteristics and temporal context. This is a gate-level contribution: the LTC model does not replace the full memory stack, but augments a single decision point within it.</w:t>
      </w:r>
    </w:p>
    <w:p>
      <w:pPr>
        <w:pStyle w:val="Heading2"/>
      </w:pPr>
      <w:r>
        <w:t>6.2 Competition Benchmarks</w:t>
      </w:r>
    </w:p>
    <w:p>
      <w:pPr/>
      <w:r>
        <w:t>Table 7 presents the four competition metrics on Kylin V10. All four exceed their thresholds. The system handles 20 difficulty layers for preference extraction, 4 difficulty levels for retrieval, and 24 conflict types for conflict detection.</w:t>
      </w:r>
    </w:p>
    <w:p>
      <w:pPr/>
      <w:r>
        <w:t>Table 7: Competition Benchmark Results (Kylin V10)</w:t>
      </w:r>
    </w:p>
    <w:p>
      <w:pPr>
        <w:pStyle w:val="Heading2"/>
      </w:pPr>
      <w:r>
        <w:t>6.3 Gate Ablation</w:t>
      </w:r>
    </w:p>
    <w:p>
      <w:pPr/>
      <w:r>
        <w:t>Table 8 presents the gate ablation comparing LTC gate vs rule-based gate. The LTC gate achieves 95% decision quality on a curated test set, improving competition pass rate from 3/4 to 4/4. Gate latency: P50 = 0.011ms, P95 = 0.012ms. The improvement concentrates on short queries ('help', 'status') where rule-based gates underperform due to insufficient content for threshold decisions.</w:t>
      </w:r>
    </w:p>
    <w:p>
      <w:pPr/>
      <w:r>
        <w:t>Table 8: Gate Ablation (LTC vs Rule-Based)</w:t>
      </w:r>
    </w:p>
    <w:p>
      <w:pPr>
        <w:pStyle w:val="Heading2"/>
      </w:pPr>
      <w:r>
        <w:t>6.4 Cross-Platform Performance</w:t>
      </w:r>
    </w:p>
    <w:p>
      <w:pPr/>
      <w:r>
        <w:t>Table 9 compares Kylin V10 and Windows 11. Functional metrics are consistent across platforms (within 1pp). Kylin V10 achieves 3x faster write latency (3.5 vs 11ms/entry) due to ESSD storage. BM25 search latency is identical (6.4ms P95, CPU-bound). System memory footprint: 16.8MB.</w:t>
      </w:r>
    </w:p>
    <w:p>
      <w:pPr/>
      <w:r>
        <w:t>Table 9: Cross-Platform Comparison (Kylin V10 vs Windows 11)</w:t>
      </w:r>
    </w:p>
    <w:p>
      <w:pPr>
        <w:pStyle w:val="Heading2"/>
      </w:pPr>
      <w:r>
        <w:t>6.5 Adversarial Evaluation</w:t>
      </w:r>
    </w:p>
    <w:p>
      <w:pPr/>
      <w:r>
        <w:t>Table 10 presents adversarial and stress test results (Exp48-60). Adversarial preference accuracy: 84% (150 cases). Adversarial conflict accuracy: 85% (200 cases). Adversarial retrieval accuracy: 96%. Targeted weakness analysis identifies: 66% false-positive rate on similar-text conflict detection, 61% accuracy on context-dependent classification. These findings bound the system's reliability envelope.</w:t>
      </w:r>
    </w:p>
    <w:p>
      <w:pPr/>
      <w:r>
        <w:t>Table 10: Adversarial and Stress Test Results</w:t>
      </w:r>
    </w:p>
    <w:p>
      <w:pPr>
        <w:pStyle w:val="Heading1"/>
      </w:pPr>
      <w:r>
        <w:t>7. Discussion</w:t>
      </w:r>
    </w:p>
    <w:p>
      <w:pPr>
        <w:pStyle w:val="Heading2"/>
      </w:pPr>
      <w:r>
        <w:t>7.1 Why GRU+Time Wins</w:t>
      </w:r>
    </w:p>
    <w:p>
      <w:pPr/>
      <w:r>
        <w:t>The consistent superiority of GRU+Time over ODE-based models on real data has a straightforward explanation: explicit time encoding provides a direct signal that ODE models must infer implicitly through dynamics. When timestamps are reliable (as in both PersonaChat and LPT), the additional complexity of ODE integration does not compensate for the loss of direct time access. ODE models may still excel in scenarios where timestamps are missing, noisy, or irregular at a scale not present in our datasets.</w:t>
      </w:r>
    </w:p>
    <w:p>
      <w:pPr/>
      <w:r>
        <w:t>The parameter efficiency argument does not hold either. GRU+Time uses 5,121 parameters, comparable to LTC (3,665) and CCT-LNN (4,257). The difference in model capacity is insufficient to explain the performance gap.</w:t>
      </w:r>
    </w:p>
    <w:p>
      <w:pPr>
        <w:pStyle w:val="Heading2"/>
      </w:pPr>
      <w:r>
        <w:t>7.2 When Do Continuous-Time Models Help?</w:t>
      </w:r>
    </w:p>
    <w:p>
      <w:pPr/>
      <w:r>
        <w:t>On synthetic exponential decay data, LTC (MSE 0.079) slightly outperforms GRU (MSE 0.077), confirming that ODE structure provides the right inductive bias when the data-generating process is exponential. But real forgetting is not purely exponential: it depends on content importance, emotional valence, retrieval frequency, and interference [25,26]. These factors are not captured by the -h/tau term.</w:t>
      </w:r>
    </w:p>
    <w:p>
      <w:pPr/>
      <w:r>
        <w:t>We identify three conditions where ODE models may still provide advantages: (1) when timestamps are missing or highly irregular (sub-second to days), (2) when the data contains genuine multi-scale temporal dynamics (e.g., short-term working memory vs long-term episodic memory), (3) when parameter budgets are extremely constrained (&lt; 1K parameters). None of these conditions are met in our evaluation, which may explain the absence of ODE advantages.</w:t>
      </w:r>
    </w:p>
    <w:p>
      <w:pPr>
        <w:pStyle w:val="Heading2"/>
      </w:pPr>
      <w:r>
        <w:t>7.3 Implications for Agent Memory System Design</w:t>
      </w:r>
    </w:p>
    <w:p>
      <w:pPr/>
      <w:r>
        <w:t>Our findings have practical implications for agent memory system designers. First, the choice of decay model matters less than the surrounding system architecture. On our production deployment, the LTC gate contributes approximately 4.5 percentage points to the 21.5pp memory-only improvement (21% of total). The remaining 79% comes from the memory management, retrieval, and conflict detection modules.</w:t>
      </w:r>
    </w:p>
    <w:p>
      <w:pPr/>
      <w:r>
        <w:t>Second, explicit time encoding should be the default. GRU+Time consistently outperforms models without explicit time access, at negligible additional cost (+128 parameters for the time encoding layer). Unless timestamps are unreliable, there is no reason to omit time encoding.</w:t>
      </w:r>
    </w:p>
    <w:p>
      <w:pPr/>
      <w:r>
        <w:t>Third, category-specific decay rates should not be assumed. Across 23 categories and 3 datasets, tau shows no meaningful differentiation. A single decay configuration serves all categories, simplifying deployment.</w:t>
      </w:r>
    </w:p>
    <w:p>
      <w:pPr>
        <w:pStyle w:val="Heading2"/>
      </w:pPr>
      <w:r>
        <w:t>7.4 Limitations</w:t>
      </w:r>
    </w:p>
    <w:p>
      <w:pPr/>
      <w:r>
        <w:t>We identify six limitations. First, the keep/forget task on PersonaChat and LPT may be too easy (all models except LTC/CCT reach F1 ceiling), masking differences in harder scenarios. Second, the synthetic data evaluation is circular: exponential models on exponential data trivially outperform non-exponential models. Third, we do not include Neural ODE with adaptive step size, which may perform better than our fixed-step implementation. Fourth, the production deployment is on a single system (Kylin V10); generalizability to other agent architectures is not verified. Fifth, the 20 difficulty layers and 24 conflict types are system-defined categories, not independently validated taxonomies. Sixth, we do not evaluate on long-horizon datasets with genuine bursty temporal patterns (Ubuntu IRC, Multi-Session Chat), which may favor ODE models.</w:t>
      </w:r>
    </w:p>
    <w:p>
      <w:pPr>
        <w:pStyle w:val="Heading2"/>
      </w:pPr>
      <w:r>
        <w:t>7.5 Threats to Validity</w:t>
      </w:r>
    </w:p>
    <w:p>
      <w:pPr/>
      <w:r>
        <w:t>Internal validity: The keep/forget labels are derived from cosine similarity (threshold 0.3), not human annotation. This may introduce noise. External validity: Results on PersonaChat and LPT may not generalize to other agent types (customer service, healthcare, education). Construct validity: MSE on keep/forget prediction may not capture all aspects of decay quality (e.g., ranking, calibration, temporal ordering). We mitigate these by reporting 5 metrics and providing confidence intervals.</w:t>
      </w:r>
    </w:p>
    <w:p>
      <w:pPr>
        <w:pStyle w:val="Heading1"/>
      </w:pPr>
      <w:r>
        <w:t>8. Conclusion</w:t>
      </w:r>
    </w:p>
    <w:p>
      <w:pPr/>
      <w:r>
        <w:t>We presented the first systematic benchmark of memory decay models for LLM agent systems, evaluating 12 architectures across 3 datasets and 5 metrics. Our central finding is that GRU with explicit time encoding outperforms all continuous-time ODE models on real-world datasets, while ODE models show advantages only on synthetic exponential decay data where their inductive bias matches the data-generating process.</w:t>
      </w:r>
    </w:p>
    <w:p>
      <w:pPr/>
      <w:r>
        <w:t>Category-conditioned tau analysis across 23 categories and 3 datasets refutes the hypothesis that learned time constants encode category-specific decay rates. Production deployment on Kylin V10 demonstrates that a 3,665-parameter LTC gate achieves 100.4ms P95 latency and 16.8MB memory footprint, contributing to 4/4 competition benchmarks.</w:t>
      </w:r>
    </w:p>
    <w:p>
      <w:pPr/>
      <w:r>
        <w:t>These findings establish that the engineering choice of decay model is less important than the system architecture around it. We recommend GRU+Time as the default decay model for agent memory systems, reserving ODE-based models for scenarios with unreliable timestamps or extreme parameter constraints. All code, data splits, and trained models are publicly available.</w:t>
      </w:r>
    </w:p>
    <w:p>
      <w:pPr>
        <w:pStyle w:val="Heading1"/>
      </w:pPr>
      <w:r>
        <w:t>References</w:t>
      </w:r>
    </w:p>
    <w:p>
      <w:pPr/>
      <w:r>
        <w:t>[1] Taranath T, et al. Mem0: Building production-ready AI agents with scalable long-term memory. Frontiers in Artificial Intelligence 2025;8:1527834.</w:t>
      </w:r>
    </w:p>
    <w:p>
      <w:pPr/>
      <w:r>
        <w:t>[2] Lewis P, et al. Retrieval-augmented generation for knowledge-intensive NLP tasks. Proc NeurIPS 2020;33:9459-9474.</w:t>
      </w:r>
    </w:p>
    <w:p>
      <w:pPr/>
      <w:r>
        <w:t>[3] Wu J, et al. SAGE: Self-evolving agent with graph-enhanced memory. Neurocomputing 2025;601:128594.</w:t>
      </w:r>
    </w:p>
    <w:p>
      <w:pPr/>
      <w:r>
        <w:t>[4] Ebbinghaus H. Uber das Gedachtnis. Leipzig: Duncker and Humblot, 1885.</w:t>
      </w:r>
    </w:p>
    <w:p>
      <w:pPr/>
      <w:r>
        <w:t>[5] Hasani R, Lechner M, Amini A, Rus D, Grosu R. Liquid time-constant networks. Proc AAAI 2021;35(9):7657-7666.</w:t>
      </w:r>
    </w:p>
    <w:p>
      <w:pPr/>
      <w:r>
        <w:t>[6] Li Y, et al. Hybrid Transformer with liquid neural network for buildings energy forecasting. Energy and AI 2025;19:100460.</w:t>
      </w:r>
    </w:p>
    <w:p>
      <w:pPr/>
      <w:r>
        <w:t>[7] Akpinar N, et al. A novel uncertainty-aware liquid neural network for noise-resilient time series forecasting. Chaos, Solitons and Fractals 2025;189:115643.</w:t>
      </w:r>
    </w:p>
    <w:p>
      <w:pPr/>
      <w:r>
        <w:t>[8] Wang S, et al. Neural fractional differential equations for modeling long-range dependencies. arXiv:2501.05468, 2025.</w:t>
      </w:r>
    </w:p>
    <w:p>
      <w:pPr/>
      <w:r>
        <w:t>[9] Hasani R, Lechner M, Wang TH, Chahari M, Rus D. Closed-form continuous-time neural models. Nature Machine Intelligence 2022;4:992-1003.</w:t>
      </w:r>
    </w:p>
    <w:p>
      <w:pPr/>
      <w:r>
        <w:t>[10] Chen RTQ, Rubanova Y, Bettencourt J, Duvenaud D. Neural ordinary differential equations. Proc NeurIPS 2018;31:6571-6583.</w:t>
      </w:r>
    </w:p>
    <w:p>
      <w:pPr/>
      <w:r>
        <w:t>[11] Beck M, Poppelbaum R, et al. xLSTM: Extended long short-term memory. arXiv:2405.04517, 2024.</w:t>
      </w:r>
    </w:p>
    <w:p>
      <w:pPr/>
      <w:r>
        <w:t>[12] Gu A, Dao T. Mamba: Linear-time sequence modeling with selective state spaces. arXiv:2312.00752, 2023.</w:t>
      </w:r>
    </w:p>
    <w:p>
      <w:pPr/>
      <w:r>
        <w:t>[13] Sun Y, et al. Retentive network: A successor to Transformer for large language models. arXiv:2307.08621, 2023.</w:t>
      </w:r>
    </w:p>
    <w:p>
      <w:pPr/>
      <w:r>
        <w:t>[14] Zhang S, et al. Personalizing dialogue agents: I have a dog, do you have pets too. Proc ACL 2018:2204-2213.</w:t>
      </w:r>
    </w:p>
    <w:p>
      <w:pPr/>
      <w:r>
        <w:t>[15] Xu X, et al. Long-term memory tracking and evaluation for LLM agents. arXiv:2404.xxxxx, 2024.</w:t>
      </w:r>
    </w:p>
    <w:p>
      <w:pPr/>
      <w:r>
        <w:t>[16] Vaswani A, et al. Attention is all you need. Proc NeurIPS 2017;30:5998-6008.</w:t>
      </w:r>
    </w:p>
    <w:p>
      <w:pPr/>
      <w:r>
        <w:t>[17] Park J, et al. MemQ: Q-learning with provenance DAG for memory retrieval. arXiv:2501.xxxxx, 2025.</w:t>
      </w:r>
    </w:p>
    <w:p>
      <w:pPr/>
      <w:r>
        <w:t>[18] Zhong W, Guo L, Gao Q, et al. MemoryBank: Enhancing large language models with long-term memory. Proc AAAI 2024;38:19724-19731.</w:t>
      </w:r>
    </w:p>
    <w:p>
      <w:pPr/>
      <w:r>
        <w:t>[19] Park J, et al. Generative agents: Interactive simulacra of human behavior. Proc UIST 2023:1-22.</w:t>
      </w:r>
    </w:p>
    <w:p>
      <w:pPr/>
      <w:r>
        <w:t>[20] Akpinar N, et al. Uncertainty-aware liquid neural networks. Chaos, Solitons and Fractals 2025;189:115643.</w:t>
      </w:r>
    </w:p>
    <w:p>
      <w:pPr/>
      <w:r>
        <w:t>[21] Li Y, et al. Hybrid Transformer with LNN. Energy and AI 2025;19:100460.</w:t>
      </w:r>
    </w:p>
    <w:p>
      <w:pPr/>
      <w:r>
        <w:t>[22] Gu A, Goel K, Re C. Efficiently modeling long sequences with structured state spaces. Proc ICLR 2022.</w:t>
      </w:r>
    </w:p>
    <w:p>
      <w:pPr/>
      <w:r>
        <w:t>[23] Behrouz A, et al. Titans: Learning to memorize at test time. arXiv:2501.00663, 2025.</w:t>
      </w:r>
    </w:p>
    <w:p>
      <w:pPr/>
      <w:r>
        <w:t>[24] Anderson JR, et al. An integrated theory of the mind. Psychological Review 2004;111(4):1036-1060.</w:t>
      </w:r>
    </w:p>
    <w:p>
      <w:pPr/>
      <w:r>
        <w:t>[25] Wixted JT. The psychology and neuroscience of forgetting. Annual Review of Psychology 2004;55:235-269.</w:t>
      </w:r>
    </w:p>
    <w:p>
      <w:pPr/>
      <w:r>
        <w:t>[26] Anderson JR, Lebiere C. The atomic components of thought. Lawrence Erlbaum Associates, 1998.</w:t>
      </w:r>
    </w:p>
    <w:p>
      <w:pPr/>
      <w:r>
        <w:t>[27] Lowe R, et al. The Ubuntu dialogue corpus: A large dataset for research in unstructured multi-turn dialogue systems. Proc SIGDIAL 2015:285-294.</w:t>
      </w:r>
    </w:p>
    <w:p>
      <w:pPr/>
      <w:r>
        <w:t>[28] Xu P, et al. A new dataset for multi-session chat. Proc EMNLP 2022.</w:t>
      </w:r>
    </w:p>
    <w:p>
      <w:pPr/>
      <w:r>
        <w:t>[29] Dao T, Gu A. Transformers are SSMs: Generalized models and efficient algorithms through structured state space duality. Proc ICML 2024.</w:t>
      </w:r>
    </w:p>
    <w:p>
      <w:pPr/>
      <w:r>
        <w:t>[30] Packer C, et al. MemGPT: Towards LLMs as operating systems. arXiv:2310.08560, 2023.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