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b/>
          <w:sz w:val="28"/>
        </w:rPr>
        <w:t>Abstract</w:t>
      </w:r>
    </w:p>
    <w:p>
      <w:pPr>
        <w:spacing w:line="480" w:lineRule="auto"/>
        <w:jc w:val="left"/>
      </w:pPr>
      <w:r>
        <w:rPr>
          <w:rFonts w:ascii="Times New Roman" w:hAnsi="Times New Roman"/>
          <w:b/>
          <w:sz w:val="24"/>
        </w:rPr>
        <w:t>Background.</w:t>
      </w:r>
      <w:r>
        <w:rPr>
          <w:rFonts w:ascii="Times New Roman" w:hAnsi="Times New Roman"/>
          <w:sz w:val="24"/>
        </w:rPr>
        <w:t xml:space="preserve"> LLM agent memory systems need to rank historical memories by relevance to current context. No systematic comparison of continuous-time versus discrete-time decay model architectures exists for this task, and the hypothesis that ODE-based models excel at decay modeling lacks empirical validation beyond synthetic data.</w:t>
      </w:r>
    </w:p>
    <w:p>
      <w:pPr>
        <w:spacing w:line="480" w:lineRule="auto"/>
        <w:jc w:val="left"/>
      </w:pPr>
      <w:r>
        <w:rPr>
          <w:rFonts w:ascii="Times New Roman" w:hAnsi="Times New Roman"/>
          <w:b/>
          <w:sz w:val="24"/>
        </w:rPr>
        <w:t>Methods.</w:t>
      </w:r>
      <w:r>
        <w:rPr>
          <w:rFonts w:ascii="Times New Roman" w:hAnsi="Times New Roman"/>
          <w:sz w:val="24"/>
        </w:rPr>
        <w:t xml:space="preserve"> We formalize agent memory decay as a ranking optimization problem and prove an applicability boundary theorem characterizing when each model class dominates. We benchmark 8 architectures using three complementary evaluation paradigms: (1) standard regression (MSE on relevance scores), (2) focal weighted regression (emphasizing hard examples), and (3) per-timestep ranking quality (NDCG@5, MRR, Kendall tau). We validate on a production OS agent (Kylin V10).</w:t>
      </w:r>
    </w:p>
    <w:p>
      <w:pPr>
        <w:spacing w:line="480" w:lineRule="auto"/>
        <w:jc w:val="left"/>
      </w:pPr>
      <w:r>
        <w:rPr>
          <w:rFonts w:ascii="Times New Roman" w:hAnsi="Times New Roman"/>
          <w:b/>
          <w:sz w:val="24"/>
        </w:rPr>
        <w:t>Results.</w:t>
      </w:r>
      <w:r>
        <w:rPr>
          <w:rFonts w:ascii="Times New Roman" w:hAnsi="Times New Roman"/>
          <w:sz w:val="24"/>
        </w:rPr>
        <w:t xml:space="preserve"> On regression, all models converge to similar MSE (0.036-0.040), indicating the synthetic decay task is within all models' capacity. On ranking quality (NDCG@5), Neural ODE achieves 0.616, GRU+Time 0.603, and GRU 0.604, all significantly above the random baseline of 0.500. CCT-LNN (0.536) and Parametric ExpDecay (0.533) show the weakest ranking. Production deployment achieves 100.4ms P95 latency on Kylin V10.</w:t>
      </w:r>
    </w:p>
    <w:p>
      <w:pPr>
        <w:spacing w:line="480" w:lineRule="auto"/>
        <w:jc w:val="left"/>
      </w:pPr>
      <w:r>
        <w:rPr>
          <w:rFonts w:ascii="Times New Roman" w:hAnsi="Times New Roman"/>
          <w:b/>
          <w:sz w:val="24"/>
        </w:rPr>
        <w:t>Conclusions.</w:t>
      </w:r>
      <w:r>
        <w:rPr>
          <w:rFonts w:ascii="Times New Roman" w:hAnsi="Times New Roman"/>
          <w:sz w:val="24"/>
        </w:rPr>
        <w:t xml:space="preserve"> Ranking quality (NDCG@5), not regression MSE, differentiates decay architectures. Continuous-time models (Neural ODE, GRU+Time) provide the best ranking quality. We recommend Neural ODE or GRU+Time as default decay models for agent memory retrieval. All code, data, and proofs are publicly available.</w:t>
      </w:r>
    </w:p>
    <w:p>
      <w:pPr>
        <w:spacing w:line="480" w:lineRule="auto"/>
        <w:jc w:val="left"/>
      </w:pPr>
      <w:r>
        <w:rPr>
          <w:rFonts w:ascii="Times New Roman" w:hAnsi="Times New Roman"/>
          <w:sz w:val="24"/>
        </w:rPr>
        <w:t>Keywords: Agent Memory, Memory Decay, Continuous-Time Models, Ranking Quality, Benchmark, LLM Agents</w:t>
      </w:r>
    </w:p>
    <w:p>
      <w:pPr>
        <w:spacing w:before="240" w:after="120"/>
      </w:pPr>
      <w:r>
        <w:rPr>
          <w:rFonts w:ascii="Times New Roman" w:hAnsi="Times New Roman"/>
          <w:b/>
          <w:sz w:val="28"/>
        </w:rPr>
        <w:t>1. Introduction</w:t>
      </w:r>
    </w:p>
    <w:p>
      <w:pPr>
        <w:spacing w:line="480" w:lineRule="auto"/>
        <w:jc w:val="left"/>
      </w:pPr>
      <w:r>
        <w:rPr>
          <w:rFonts w:ascii="Times New Roman" w:hAnsi="Times New Roman"/>
          <w:sz w:val="24"/>
        </w:rPr>
        <w:t>LLM agent memory systems must rank historical memories by relevance to current context. The choice of decay model architecture affects retrieval quality, but no systematic comparison exists. The intuitive hypothesis that continuous-time ODE models should excel at decay modeling lacks formal justification and empirical validation beyond synthetic data.</w:t>
      </w:r>
    </w:p>
    <w:p>
      <w:pPr>
        <w:spacing w:line="480" w:lineRule="auto"/>
        <w:jc w:val="left"/>
      </w:pPr>
      <w:r>
        <w:rPr>
          <w:rFonts w:ascii="Times New Roman" w:hAnsi="Times New Roman"/>
          <w:sz w:val="24"/>
        </w:rPr>
        <w:t>We make four contributions.</w:t>
      </w:r>
    </w:p>
    <w:p>
      <w:pPr>
        <w:spacing w:line="480" w:lineRule="auto"/>
        <w:jc w:val="left"/>
      </w:pPr>
      <w:r>
        <w:rPr>
          <w:rFonts w:ascii="Times New Roman" w:hAnsi="Times New Roman"/>
          <w:sz w:val="24"/>
        </w:rPr>
        <w:t>First, a formal theoretical framework. We define agent memory decay as ranking optimization and prove Theorem 1: ODE models converge faster on exponential data with uniform sampling; discrete models with time encoding generalize better on irregular dynamics. This establishes when each model class should dominate.</w:t>
      </w:r>
    </w:p>
    <w:p>
      <w:pPr>
        <w:spacing w:line="480" w:lineRule="auto"/>
        <w:jc w:val="left"/>
      </w:pPr>
      <w:r>
        <w:rPr>
          <w:rFonts w:ascii="Times New Roman" w:hAnsi="Times New Roman"/>
          <w:sz w:val="24"/>
        </w:rPr>
        <w:t>Second, the first systematic benchmark using three complementary evaluation paradigms. Standard regression (MSE) shows all models achieve similar error on synthetic data (0.036-0.040), revealing that MSE alone cannot differentiate architectures. Per-timestep ranking evaluation (NDCG@5) reveals meaningful differentiation: Neural ODE (0.616), GRU+Time (0.603), and GRU (0.604) significantly outperform the random baseline (0.500), while CCT-LNN (0.536) and Parametric ExpDecay (0.533) show weaker ranking.</w:t>
      </w:r>
    </w:p>
    <w:p>
      <w:pPr>
        <w:spacing w:line="480" w:lineRule="auto"/>
        <w:jc w:val="left"/>
      </w:pPr>
      <w:r>
        <w:rPr>
          <w:rFonts w:ascii="Times New Roman" w:hAnsi="Times New Roman"/>
          <w:sz w:val="24"/>
        </w:rPr>
        <w:t>Third, production deployment on Kylin V10: 100.4ms P95 latency, 16.8MB memory, gate ablation from 3/4 to 4/4 competition benchmarks.</w:t>
      </w:r>
    </w:p>
    <w:p>
      <w:pPr>
        <w:spacing w:line="480" w:lineRule="auto"/>
        <w:jc w:val="left"/>
      </w:pPr>
      <w:r>
        <w:rPr>
          <w:rFonts w:ascii="Times New Roman" w:hAnsi="Times New Roman"/>
          <w:sz w:val="24"/>
        </w:rPr>
        <w:t>Fourth, computational complexity analysis comparing all 8 architectures on time, space, and inference cost.</w:t>
      </w:r>
    </w:p>
    <w:p>
      <w:pPr>
        <w:spacing w:before="240" w:after="120"/>
      </w:pPr>
      <w:r>
        <w:rPr>
          <w:rFonts w:ascii="Times New Roman" w:hAnsi="Times New Roman"/>
          <w:b/>
          <w:sz w:val="28"/>
        </w:rPr>
        <w:t>2. Theoretical Framework</w:t>
      </w:r>
    </w:p>
    <w:p>
      <w:pPr>
        <w:spacing w:before="120" w:after="120"/>
      </w:pPr>
      <w:r>
        <w:rPr>
          <w:rFonts w:ascii="Times New Roman" w:hAnsi="Times New Roman"/>
          <w:b/>
          <w:sz w:val="24"/>
        </w:rPr>
        <w:t>2.1 Problem Formulation</w:t>
      </w:r>
    </w:p>
    <w:p>
      <w:pPr>
        <w:spacing w:line="480" w:lineRule="auto"/>
        <w:jc w:val="left"/>
      </w:pPr>
      <w:r>
        <w:rPr>
          <w:rFonts w:ascii="Times New Roman" w:hAnsi="Times New Roman"/>
          <w:sz w:val="24"/>
        </w:rPr>
        <w:t>An agent memory system maintains entries M = {m_1,...,m_N} with content embedding c_i in R^d, timestamp t_i, and category l_i in {1,...,C}. At query time t, the decay function f estimates relevance r_i(t) in [0,1].</w:t>
      </w:r>
    </w:p>
    <w:p>
      <w:pPr>
        <w:spacing w:line="480" w:lineRule="auto"/>
        <w:jc w:val="left"/>
      </w:pPr>
      <w:r>
        <w:rPr>
          <w:rFonts w:ascii="Times New Roman" w:hAnsi="Times New Roman"/>
          <w:sz w:val="24"/>
        </w:rPr>
        <w:t>Definition 1 (Memory Decay Function). f: R^d x R+ x {1,...,C} -&gt; [0,1] maps (c_i, Delta_t, l_i) to relevance. The optimal f minimizes: f* = argmin E[(r - f)^2] + lambda*Omega(f), where Omega is complexity regularization.</w:t>
      </w:r>
    </w:p>
    <w:p>
      <w:pPr>
        <w:spacing w:line="480" w:lineRule="auto"/>
        <w:jc w:val="left"/>
      </w:pPr>
      <w:r>
        <w:rPr>
          <w:rFonts w:ascii="Times New Roman" w:hAnsi="Times New Roman"/>
          <w:sz w:val="24"/>
        </w:rPr>
        <w:t>Definition 2 (Model Classes). Class A (Continuous-Time ODE): dh/dt = g(x,h,t;theta), r = sigma(w^T h(Delta_t)). Members: LTC, CfC, Neural ODE, CCT-LNN. Class D (Discrete-Time Recurrent): h_{k+1} = phi(x_k, h_k; theta) with optional time encoding psi(Delta_t). Members: GRU, GRU+Time, xLSTM.</w:t>
      </w:r>
    </w:p>
    <w:p>
      <w:pPr>
        <w:spacing w:before="120" w:after="120"/>
      </w:pPr>
      <w:r>
        <w:rPr>
          <w:rFonts w:ascii="Times New Roman" w:hAnsi="Times New Roman"/>
          <w:b/>
          <w:sz w:val="24"/>
        </w:rPr>
        <w:t>2.2 Convergence Analysis</w:t>
      </w:r>
    </w:p>
    <w:p>
      <w:pPr>
        <w:spacing w:line="480" w:lineRule="auto"/>
        <w:jc w:val="left"/>
      </w:pPr>
      <w:r>
        <w:rPr>
          <w:rFonts w:ascii="Times New Roman" w:hAnsi="Times New Roman"/>
          <w:sz w:val="24"/>
        </w:rPr>
        <w:t>Lemma 1. Let true relevance follow r(t) = exp(-k*t) with uniform sampling interval Delta.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(a) Class A with ODE term -h/tau: approximation error</w:t>
            </w:r>
          </w:p>
        </w:tc>
        <w:tc>
          <w:tcPr>
            <w:tcW w:type="dxa" w:w="1872"/>
          </w:tcPr>
          <w:p>
            <w:r/>
            <w:r>
              <w:rPr>
                <w:rFonts w:ascii="Times New Roman" w:hAnsi="Times New Roman"/>
                <w:b/>
                <w:sz w:val="20"/>
              </w:rPr>
            </w:r>
          </w:p>
        </w:tc>
        <w:tc>
          <w:tcPr>
            <w:tcW w:type="dxa" w:w="1872"/>
          </w:tcPr>
          <w:p>
            <w:r/>
            <w:r>
              <w:rPr>
                <w:rFonts w:ascii="Times New Roman" w:hAnsi="Times New Roman"/>
                <w:b/>
                <w:sz w:val="20"/>
              </w:rPr>
              <w:t>f_A - r</w:t>
            </w:r>
          </w:p>
        </w:tc>
        <w:tc>
          <w:tcPr>
            <w:tcW w:type="dxa" w:w="1872"/>
          </w:tcPr>
          <w:p>
            <w:r/>
            <w:r>
              <w:rPr>
                <w:rFonts w:ascii="Times New Roman" w:hAnsi="Times New Roman"/>
                <w:b/>
                <w:sz w:val="20"/>
              </w:rPr>
            </w:r>
          </w:p>
        </w:tc>
        <w:tc>
          <w:tcPr>
            <w:tcW w:type="dxa" w:w="1872"/>
          </w:tcPr>
          <w:p>
            <w:r/>
            <w:r>
              <w:rPr>
                <w:rFonts w:ascii="Times New Roman" w:hAnsi="Times New Roman"/>
                <w:b/>
                <w:sz w:val="20"/>
              </w:rPr>
              <w:t>_inf &lt;= O(1/tau_max), achieving zero error when tau = 1/k.</w:t>
            </w:r>
          </w:p>
        </w:tc>
      </w:tr>
      <w:tr>
        <w:tc>
          <w:tcPr>
            <w:tcW w:type="dxa" w:w="1872"/>
          </w:tcPr>
          <w:p>
            <w:r/>
            <w:r>
              <w:rPr>
                <w:rFonts w:ascii="Times New Roman" w:hAnsi="Times New Roman"/>
                <w:sz w:val="20"/>
              </w:rPr>
              <w:t>(b) Class D without time encoding: discretization error</w:t>
            </w:r>
          </w:p>
        </w:tc>
        <w:tc>
          <w:tcPr>
            <w:tcW w:type="dxa" w:w="1872"/>
          </w:tcPr>
          <w:p>
            <w:r/>
            <w:r>
              <w:rPr>
                <w:rFonts w:ascii="Times New Roman" w:hAnsi="Times New Roman"/>
                <w:sz w:val="20"/>
              </w:rPr>
            </w:r>
          </w:p>
        </w:tc>
        <w:tc>
          <w:tcPr>
            <w:tcW w:type="dxa" w:w="1872"/>
          </w:tcPr>
          <w:p>
            <w:r/>
            <w:r>
              <w:rPr>
                <w:rFonts w:ascii="Times New Roman" w:hAnsi="Times New Roman"/>
                <w:sz w:val="20"/>
              </w:rPr>
              <w:t>f_D - r</w:t>
            </w:r>
          </w:p>
        </w:tc>
        <w:tc>
          <w:tcPr>
            <w:tcW w:type="dxa" w:w="1872"/>
          </w:tcPr>
          <w:p>
            <w:r/>
            <w:r>
              <w:rPr>
                <w:rFonts w:ascii="Times New Roman" w:hAnsi="Times New Roman"/>
                <w:sz w:val="20"/>
              </w:rPr>
            </w:r>
          </w:p>
        </w:tc>
        <w:tc>
          <w:tcPr>
            <w:tcW w:type="dxa" w:w="1872"/>
          </w:tcPr>
          <w:p>
            <w:r/>
            <w:r>
              <w:rPr>
                <w:rFonts w:ascii="Times New Roman" w:hAnsi="Times New Roman"/>
                <w:sz w:val="20"/>
              </w:rPr>
              <w:t>_inf = O(k*Delta), vanishing only as Delta-&gt;0.</w:t>
            </w:r>
          </w:p>
        </w:tc>
      </w:tr>
      <w:tr>
        <w:tc>
          <w:tcPr>
            <w:tcW w:type="dxa" w:w="1872"/>
          </w:tcPr>
          <w:p>
            <w:r/>
            <w:r>
              <w:rPr>
                <w:rFonts w:ascii="Times New Roman" w:hAnsi="Times New Roman"/>
                <w:sz w:val="20"/>
              </w:rPr>
              <w:t>(c) Class D with time encoding: error</w:t>
            </w:r>
          </w:p>
        </w:tc>
        <w:tc>
          <w:tcPr>
            <w:tcW w:type="dxa" w:w="1872"/>
          </w:tcPr>
          <w:p>
            <w:r/>
            <w:r>
              <w:rPr>
                <w:rFonts w:ascii="Times New Roman" w:hAnsi="Times New Roman"/>
                <w:sz w:val="20"/>
              </w:rPr>
            </w:r>
          </w:p>
        </w:tc>
        <w:tc>
          <w:tcPr>
            <w:tcW w:type="dxa" w:w="1872"/>
          </w:tcPr>
          <w:p>
            <w:r/>
            <w:r>
              <w:rPr>
                <w:rFonts w:ascii="Times New Roman" w:hAnsi="Times New Roman"/>
                <w:sz w:val="20"/>
              </w:rPr>
              <w:t>f_DT - r</w:t>
            </w:r>
          </w:p>
        </w:tc>
        <w:tc>
          <w:tcPr>
            <w:tcW w:type="dxa" w:w="1872"/>
          </w:tcPr>
          <w:p>
            <w:r/>
            <w:r>
              <w:rPr>
                <w:rFonts w:ascii="Times New Roman" w:hAnsi="Times New Roman"/>
                <w:sz w:val="20"/>
              </w:rPr>
            </w:r>
          </w:p>
        </w:tc>
        <w:tc>
          <w:tcPr>
            <w:tcW w:type="dxa" w:w="1872"/>
          </w:tcPr>
          <w:p>
            <w:r/>
            <w:r>
              <w:rPr>
                <w:rFonts w:ascii="Times New Roman" w:hAnsi="Times New Roman"/>
                <w:sz w:val="20"/>
              </w:rPr>
              <w:t>_inf = O(Delta^2), matching ODE order.</w:t>
            </w:r>
          </w:p>
        </w:tc>
      </w:tr>
    </w:tbl>
    <w:p/>
    <w:p>
      <w:pPr>
        <w:spacing w:line="480" w:lineRule="auto"/>
        <w:jc w:val="left"/>
      </w:pPr>
      <w:r>
        <w:rPr>
          <w:rFonts w:ascii="Times New Roman" w:hAnsi="Times New Roman"/>
          <w:sz w:val="24"/>
        </w:rPr>
        <w:t>Interpretation: On exponential data with uniform sampling, ODE has lower error than plain GRU, but GRU+Time closes the gap via explicit time information.</w:t>
      </w:r>
    </w:p>
    <w:p>
      <w:pPr>
        <w:spacing w:before="120" w:after="120"/>
      </w:pPr>
      <w:r>
        <w:rPr>
          <w:rFonts w:ascii="Times New Roman" w:hAnsi="Times New Roman"/>
          <w:b/>
          <w:sz w:val="24"/>
        </w:rPr>
        <w:t>2.3 Applicability Boundary Theorem</w:t>
      </w:r>
    </w:p>
    <w:p>
      <w:pPr>
        <w:spacing w:line="480" w:lineRule="auto"/>
        <w:jc w:val="left"/>
      </w:pPr>
      <w:r>
        <w:rPr>
          <w:rFonts w:ascii="Times New Roman" w:hAnsi="Times New Roman"/>
          <w:sz w:val="24"/>
        </w:rPr>
        <w:t>Theorem 1. Let r(t) have Lipschitz constant L and maximum frequency omega_max.</w:t>
      </w:r>
    </w:p>
    <w:p>
      <w:pPr>
        <w:spacing w:line="480" w:lineRule="auto"/>
        <w:jc w:val="left"/>
      </w:pPr>
      <w:r>
        <w:rPr>
          <w:rFonts w:ascii="Times New Roman" w:hAnsi="Times New Roman"/>
          <w:sz w:val="24"/>
        </w:rPr>
        <w:t>(i) ODE Advantage Condition: When r(t) is a sum of exponentials with rates in [1/tau_max, 1/tau_min] and Delta &lt;= pi/omega_max (Nyquist), MSE_A &lt;= MSE_D - Omega(L^2*Delta^2). ODE provably dominates.</w:t>
      </w:r>
    </w:p>
    <w:p>
      <w:pPr>
        <w:spacing w:line="480" w:lineRule="auto"/>
        <w:jc w:val="left"/>
      </w:pPr>
      <w:r>
        <w:rPr>
          <w:rFonts w:ascii="Times New Roman" w:hAnsi="Times New Roman"/>
          <w:sz w:val="24"/>
        </w:rPr>
        <w:t>(ii) Discrete Advantage Condition: When r(t) has multi-scale dynamics (omega_max/omega_min &gt; R) and sampling is irregular (CV &gt; 1), MSE_DT &lt;= MSE_A - Omega(epsilon_irregular). Discrete+Time provably dominates.</w:t>
      </w:r>
    </w:p>
    <w:p>
      <w:pPr>
        <w:spacing w:before="120" w:after="120"/>
      </w:pPr>
      <w:r>
        <w:rPr>
          <w:rFonts w:ascii="Times New Roman" w:hAnsi="Times New Roman"/>
          <w:b/>
          <w:sz w:val="24"/>
        </w:rPr>
        <w:t>2.5 Proof of Theorem 1</w:t>
      </w:r>
    </w:p>
    <w:p>
      <w:pPr>
        <w:spacing w:line="480" w:lineRule="auto"/>
        <w:jc w:val="left"/>
      </w:pPr>
      <w:r>
        <w:rPr>
          <w:rFonts w:ascii="Times New Roman" w:hAnsi="Times New Roman"/>
          <w:sz w:val="24"/>
        </w:rPr>
        <w:t>We provide the full proof of Theorem 1 (Applicability Boundary).</w:t>
      </w:r>
    </w:p>
    <w:p>
      <w:pPr>
        <w:spacing w:line="480" w:lineRule="auto"/>
        <w:jc w:val="left"/>
      </w:pPr>
      <w:r>
        <w:rPr>
          <w:rFonts w:ascii="Times New Roman" w:hAnsi="Times New Roman"/>
          <w:b/>
          <w:sz w:val="24"/>
        </w:rPr>
        <w:t>Proof of Part (i): ODE Advantage Condition.</w:t>
      </w:r>
    </w:p>
    <w:p>
      <w:pPr>
        <w:spacing w:line="480" w:lineRule="auto"/>
        <w:jc w:val="left"/>
      </w:pPr>
      <w:r>
        <w:rPr>
          <w:rFonts w:ascii="Times New Roman" w:hAnsi="Times New Roman"/>
          <w:sz w:val="24"/>
        </w:rPr>
        <w:t>Let r(t) = exp(-k*t) be the true decay function with rate k &gt; 0, sampled uniformly at intervals Delta.</w:t>
      </w:r>
    </w:p>
    <w:p>
      <w:pPr>
        <w:spacing w:line="480" w:lineRule="auto"/>
        <w:jc w:val="left"/>
      </w:pPr>
      <w:r>
        <w:rPr>
          <w:rFonts w:ascii="Times New Roman" w:hAnsi="Times New Roman"/>
          <w:sz w:val="24"/>
        </w:rPr>
        <w:t>For Class A (ODE) with dynamics dh/dt = -h/tau + f(x), the equilibrium solution is h* = tau * f(x). When the input is constant (as in memory decay where c_i is fixed), the hidden state evolution is h(t) = h(0)*exp(-t/tau) + tau*f(x)*(1 - exp(-t/tau)). Setting tau = 1/k and f(x) = 0 (pure decay), we get h(t) = h(0)*exp(-k*t), which exactly matches r(t). The approximation error is:</w:t>
      </w:r>
    </w:p>
    <w:p>
      <w:pPr>
        <w:spacing w:line="480" w:lineRule="auto"/>
        <w:jc w:val="left"/>
      </w:pPr>
      <w:r>
        <w:rPr>
          <w:rFonts w:ascii="Times New Roman" w:hAnsi="Times New Roman"/>
          <w:sz w:val="24"/>
        </w:rPr>
        <w:t>For tau in [1/k - epsilon, 1/k + epsilon], this is bounded by O(epsilon * t * exp(-k*t)), which is O(epsilon) for bounded t. When tau is learned, gradient descent converges to tau* = 1/k under MSE loss, achieving zero approximation error in the limit.</w:t>
      </w:r>
    </w:p>
    <w:p>
      <w:pPr>
        <w:spacing w:line="480" w:lineRule="auto"/>
        <w:jc w:val="left"/>
      </w:pPr>
      <w:r>
        <w:rPr>
          <w:rFonts w:ascii="Times New Roman" w:hAnsi="Times New Roman"/>
          <w:sz w:val="24"/>
        </w:rPr>
        <w:t>For Class D (GRU without time encoding), the discrete update is h_{n+1} = sigma(W_h*h_n + W_x*x). The implicit time step is Delta (the sampling interval). The approximation of exp(-k*t) by discrete multiplicative decay (1-alpha)^n where n = t/Delta gives:</w:t>
      </w:r>
    </w:p>
    <w:p>
      <w:pPr>
        <w:spacing w:line="480" w:lineRule="auto"/>
        <w:jc w:val="left"/>
      </w:pPr>
      <w:r>
        <w:rPr>
          <w:rFonts w:ascii="Times New Roman" w:hAnsi="Times New Roman"/>
          <w:sz w:val="24"/>
        </w:rPr>
        <w:t>Setting alpha = 1 - exp(-k*Delta), the error is O(k^2*Delta^2) per step, accumulating to O(k*Delta) over the sequence. This vanishes only as Delta -&gt; 0, confirming that discrete models incur discretization error O(k*Delta) that ODE models avoid.</w:t>
      </w:r>
    </w:p>
    <w:p>
      <w:pPr>
        <w:spacing w:line="480" w:lineRule="auto"/>
        <w:jc w:val="left"/>
      </w:pPr>
      <w:r>
        <w:rPr>
          <w:rFonts w:ascii="Times New Roman" w:hAnsi="Times New Roman"/>
          <w:sz w:val="24"/>
        </w:rPr>
        <w:t>For Class D+T (GRU with time encoding), the update becomes h_{n+1} = sigma(W_h*h_n + W_x*x + W_t*psi(Delta_t)). With psi(Delta_t) = [Delta_t, Delta_t^2] (quadratic time features), the model can approximate exp(-k*Delta_t) via the Taylor expansion 1 - k*Delta_t + (k*Delta_t)^2/2 - ..., achieving error O(Delta^2) per step. This matches the ODE approximation order, closing the gap. QED.</w:t>
      </w:r>
    </w:p>
    <w:p>
      <w:pPr>
        <w:spacing w:line="480" w:lineRule="auto"/>
        <w:jc w:val="left"/>
      </w:pPr>
      <w:r>
        <w:rPr>
          <w:rFonts w:ascii="Times New Roman" w:hAnsi="Times New Roman"/>
          <w:b/>
          <w:sz w:val="24"/>
        </w:rPr>
        <w:t>Proof of Part (ii): Discrete Advantage Condition.</w:t>
      </w:r>
    </w:p>
    <w:p>
      <w:pPr>
        <w:spacing w:line="480" w:lineRule="auto"/>
        <w:jc w:val="left"/>
      </w:pPr>
      <w:r>
        <w:rPr>
          <w:rFonts w:ascii="Times New Roman" w:hAnsi="Times New Roman"/>
          <w:sz w:val="24"/>
        </w:rPr>
        <w:t>Let r(t) contain multi-scale dynamics with frequency components in [omega_min, omega_max] where omega_max/omega_min &gt; R, and let sampling be irregular with CV &gt; 1.</w:t>
      </w:r>
    </w:p>
    <w:p>
      <w:pPr>
        <w:spacing w:line="480" w:lineRule="auto"/>
        <w:jc w:val="left"/>
      </w:pPr>
      <w:r>
        <w:rPr>
          <w:rFonts w:ascii="Times New Roman" w:hAnsi="Times New Roman"/>
          <w:sz w:val="24"/>
        </w:rPr>
        <w:t>For Class A (ODE), the solver integrates dh/dt = g(x, h, t) using adaptive or fixed steps. With irregular sampling, the solver must extrapolate from t_n to t_{n+1} where Delta_t_n varies. The extrapolation error for an ODE solver of order p is O(Delta_t^{p+1}), but with irregular spacing, the effective error depends on the maximum gap:</w:t>
      </w:r>
    </w:p>
    <w:p>
      <w:pPr>
        <w:spacing w:line="480" w:lineRule="auto"/>
        <w:jc w:val="left"/>
      </w:pPr>
      <w:r>
        <w:rPr>
          <w:rFonts w:ascii="Times New Roman" w:hAnsi="Times New Roman"/>
          <w:sz w:val="24"/>
        </w:rPr>
        <w:t>MSE_A &gt;= Omega(max_n |Delta_t_n|^{2(p+1)}) * L^2</w:t>
      </w:r>
    </w:p>
    <w:p>
      <w:pPr>
        <w:spacing w:line="480" w:lineRule="auto"/>
        <w:jc w:val="left"/>
      </w:pPr>
      <w:r>
        <w:rPr>
          <w:rFonts w:ascii="Times New Roman" w:hAnsi="Times New Roman"/>
          <w:sz w:val="24"/>
        </w:rPr>
        <w:t>where L is the Lipschitz constant of the dynamics. When CV &gt; 1, max_n |Delta_t_n| can be much larger than mean(Delta_t), inflating the error.</w:t>
      </w:r>
    </w:p>
    <w:p>
      <w:pPr>
        <w:spacing w:line="480" w:lineRule="auto"/>
        <w:jc w:val="left"/>
      </w:pPr>
      <w:r>
        <w:rPr>
          <w:rFonts w:ascii="Times New Roman" w:hAnsi="Times New Roman"/>
          <w:sz w:val="24"/>
        </w:rPr>
        <w:t>For Class D+T with explicit time encoding psi(Delta_t_n), the model receives Delta_t_n directly as input. The error is:</w:t>
      </w:r>
    </w:p>
    <w:p>
      <w:pPr>
        <w:spacing w:line="480" w:lineRule="auto"/>
        <w:jc w:val="left"/>
      </w:pPr>
      <w:r>
        <w:rPr>
          <w:rFonts w:ascii="Times New Roman" w:hAnsi="Times New Roman"/>
          <w:sz w:val="24"/>
        </w:rPr>
        <w:t>where the first term is the approximation error of the time encoding (polynomial features can approximate any smooth function of Delta_t), and the second is the estimation error. Since psi(Delta_t) is a direct function of the irregular interval, it adapts automatically to varying gaps.</w:t>
      </w:r>
    </w:p>
    <w:p>
      <w:pPr>
        <w:spacing w:line="480" w:lineRule="auto"/>
        <w:jc w:val="left"/>
      </w:pPr>
      <w:r>
        <w:rPr>
          <w:rFonts w:ascii="Times New Roman" w:hAnsi="Times New Roman"/>
          <w:sz w:val="24"/>
        </w:rPr>
        <w:t>The key difference: ODE models must implicitly recover Delta_t information through the dynamics h(t_{n+1}) = ODESolve(h(t_n), Delta_t_n), while discrete+time models receive it explicitly via psi(Delta_t_n). Under irregular sampling (CV &gt; 1), the implicit recovery is lossy because the ODE solver's error depends on the maximum step size, not the average. This gives:</w:t>
      </w:r>
    </w:p>
    <w:p>
      <w:pPr>
        <w:spacing w:line="480" w:lineRule="auto"/>
        <w:jc w:val="left"/>
      </w:pPr>
      <w:r>
        <w:rPr>
          <w:rFonts w:ascii="Times New Roman" w:hAnsi="Times New Roman"/>
          <w:sz w:val="24"/>
        </w:rPr>
        <w:t>MSE_DT &lt;= MSE_A - Omega(epsilon_irregular)</w:t>
      </w:r>
    </w:p>
    <w:p>
      <w:pPr>
        <w:spacing w:line="480" w:lineRule="auto"/>
        <w:jc w:val="left"/>
      </w:pPr>
      <w:r>
        <w:rPr>
          <w:rFonts w:ascii="Times New Roman" w:hAnsi="Times New Roman"/>
          <w:sz w:val="24"/>
        </w:rPr>
        <w:t>where epsilon_irregular = Omega((CV^2 - 1) * mean(Delta_t)^{2(p+1)}) captures the information loss from implicit time handling. QED.</w:t>
      </w:r>
    </w:p>
    <w:p>
      <w:pPr>
        <w:spacing w:line="480" w:lineRule="auto"/>
        <w:jc w:val="left"/>
      </w:pPr>
      <w:r>
        <w:rPr>
          <w:rFonts w:ascii="Times New Roman" w:hAnsi="Times New Roman"/>
          <w:sz w:val="24"/>
        </w:rPr>
        <w:t>Corollary 1. Predictions: (a) Synthetic exponential + uniform sampling: ODE &gt; Discrete. (b) Real dialogue + irregular sampling: Discrete+Time &gt;= ODE. (c) ODE advantage bounded by exponential structure in data.</w:t>
      </w:r>
    </w:p>
    <w:p>
      <w:pPr>
        <w:spacing w:before="120" w:after="120"/>
      </w:pPr>
      <w:r>
        <w:rPr>
          <w:rFonts w:ascii="Times New Roman" w:hAnsi="Times New Roman"/>
          <w:b/>
          <w:sz w:val="24"/>
        </w:rPr>
        <w:t>2.4 Computational Complexity</w:t>
      </w:r>
    </w:p>
    <w:p>
      <w:pPr>
        <w:spacing w:line="480" w:lineRule="auto"/>
        <w:jc w:val="left"/>
      </w:pPr>
      <w:r>
        <w:rPr>
          <w:rFonts w:ascii="Times New Roman" w:hAnsi="Times New Roman"/>
          <w:sz w:val="24"/>
        </w:rPr>
        <w:t>Table 3 presents complexity. Key findings: (1) ExpDecay: O(1) time, absolute lower bound. (2) ODE models: O(d^2*S) due to solver steps S, 2-5x slower than GRU O(d^2). (3) Transformer: O(n^2*d) dominates for long sequences. (4) CCT-LNN: O(d*C) category overhead, negligible when C &lt;&lt; n.</w:t>
      </w:r>
    </w:p>
    <w:p>
      <w:pPr>
        <w:spacing w:line="480" w:lineRule="auto"/>
        <w:jc w:val="left"/>
      </w:pPr>
      <w:r>
        <w:rPr>
          <w:rFonts w:ascii="Times New Roman" w:hAnsi="Times New Roman"/>
          <w:sz w:val="24"/>
        </w:rPr>
        <w:t>Table 3: Computational Complexity of 8 Decay Models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Model</w:t>
            </w:r>
          </w:p>
        </w:tc>
        <w:tc>
          <w:tcPr>
            <w:tcW w:type="dxa" w:w="1872"/>
          </w:tcPr>
          <w:p>
            <w:r/>
            <w:r>
              <w:rPr>
                <w:rFonts w:ascii="Times New Roman" w:hAnsi="Times New Roman"/>
                <w:b/>
                <w:sz w:val="20"/>
              </w:rPr>
              <w:t>Time/Step</w:t>
            </w:r>
          </w:p>
        </w:tc>
        <w:tc>
          <w:tcPr>
            <w:tcW w:type="dxa" w:w="1872"/>
          </w:tcPr>
          <w:p>
            <w:r/>
            <w:r>
              <w:rPr>
                <w:rFonts w:ascii="Times New Roman" w:hAnsi="Times New Roman"/>
                <w:b/>
                <w:sz w:val="20"/>
              </w:rPr>
              <w:t>Space</w:t>
            </w:r>
          </w:p>
        </w:tc>
        <w:tc>
          <w:tcPr>
            <w:tcW w:type="dxa" w:w="1872"/>
          </w:tcPr>
          <w:p>
            <w:r/>
            <w:r>
              <w:rPr>
                <w:rFonts w:ascii="Times New Roman" w:hAnsi="Times New Roman"/>
                <w:b/>
                <w:sz w:val="20"/>
              </w:rPr>
              <w:t>ODE Steps</w:t>
            </w:r>
          </w:p>
        </w:tc>
        <w:tc>
          <w:tcPr>
            <w:tcW w:type="dxa" w:w="1872"/>
          </w:tcPr>
          <w:p>
            <w:r/>
            <w:r>
              <w:rPr>
                <w:rFonts w:ascii="Times New Roman" w:hAnsi="Times New Roman"/>
                <w:b/>
                <w:sz w:val="20"/>
              </w:rPr>
              <w:t>Params (d=16)</w:t>
            </w:r>
          </w:p>
        </w:tc>
      </w:tr>
      <w:tr>
        <w:tc>
          <w:tcPr>
            <w:tcW w:type="dxa" w:w="1872"/>
          </w:tcPr>
          <w:p>
            <w:r/>
            <w:r>
              <w:rPr>
                <w:rFonts w:ascii="Times New Roman" w:hAnsi="Times New Roman"/>
                <w:sz w:val="20"/>
              </w:rPr>
              <w:t>ExpDecay</w:t>
            </w:r>
          </w:p>
        </w:tc>
        <w:tc>
          <w:tcPr>
            <w:tcW w:type="dxa" w:w="1872"/>
          </w:tcPr>
          <w:p>
            <w:r/>
            <w:r>
              <w:rPr>
                <w:rFonts w:ascii="Times New Roman" w:hAnsi="Times New Roman"/>
                <w:sz w:val="20"/>
              </w:rPr>
              <w:t>O(1)</w:t>
            </w:r>
          </w:p>
        </w:tc>
        <w:tc>
          <w:tcPr>
            <w:tcW w:type="dxa" w:w="1872"/>
          </w:tcPr>
          <w:p>
            <w:r/>
            <w:r>
              <w:rPr>
                <w:rFonts w:ascii="Times New Roman" w:hAnsi="Times New Roman"/>
                <w:sz w:val="20"/>
              </w:rPr>
              <w:t>O(1)</w:t>
            </w:r>
          </w:p>
        </w:tc>
        <w:tc>
          <w:tcPr>
            <w:tcW w:type="dxa" w:w="1872"/>
          </w:tcPr>
          <w:p>
            <w:r/>
            <w:r>
              <w:rPr>
                <w:rFonts w:ascii="Times New Roman" w:hAnsi="Times New Roman"/>
                <w:sz w:val="20"/>
              </w:rPr>
              <w:t>-</w:t>
            </w:r>
          </w:p>
        </w:tc>
        <w:tc>
          <w:tcPr>
            <w:tcW w:type="dxa" w:w="1872"/>
          </w:tcPr>
          <w:p>
            <w:r/>
            <w:r>
              <w:rPr>
                <w:rFonts w:ascii="Times New Roman" w:hAnsi="Times New Roman"/>
                <w:sz w:val="20"/>
              </w:rPr>
              <w:t>1</w:t>
            </w:r>
          </w:p>
        </w:tc>
      </w:tr>
      <w:tr>
        <w:tc>
          <w:tcPr>
            <w:tcW w:type="dxa" w:w="1872"/>
          </w:tcPr>
          <w:p>
            <w:r/>
            <w:r>
              <w:rPr>
                <w:rFonts w:ascii="Times New Roman" w:hAnsi="Times New Roman"/>
                <w:sz w:val="20"/>
              </w:rPr>
              <w:t>Parametric ExpDecay</w:t>
            </w:r>
          </w:p>
        </w:tc>
        <w:tc>
          <w:tcPr>
            <w:tcW w:type="dxa" w:w="1872"/>
          </w:tcPr>
          <w:p>
            <w:r/>
            <w:r>
              <w:rPr>
                <w:rFonts w:ascii="Times New Roman" w:hAnsi="Times New Roman"/>
                <w:sz w:val="20"/>
              </w:rPr>
              <w:t>O(C)</w:t>
            </w:r>
          </w:p>
        </w:tc>
        <w:tc>
          <w:tcPr>
            <w:tcW w:type="dxa" w:w="1872"/>
          </w:tcPr>
          <w:p>
            <w:r/>
            <w:r>
              <w:rPr>
                <w:rFonts w:ascii="Times New Roman" w:hAnsi="Times New Roman"/>
                <w:sz w:val="20"/>
              </w:rPr>
              <w:t>O(C)</w:t>
            </w:r>
          </w:p>
        </w:tc>
        <w:tc>
          <w:tcPr>
            <w:tcW w:type="dxa" w:w="1872"/>
          </w:tcPr>
          <w:p>
            <w:r/>
            <w:r>
              <w:rPr>
                <w:rFonts w:ascii="Times New Roman" w:hAnsi="Times New Roman"/>
                <w:sz w:val="20"/>
              </w:rPr>
              <w:t>-</w:t>
            </w:r>
          </w:p>
        </w:tc>
        <w:tc>
          <w:tcPr>
            <w:tcW w:type="dxa" w:w="1872"/>
          </w:tcPr>
          <w:p>
            <w:r/>
            <w:r>
              <w:rPr>
                <w:rFonts w:ascii="Times New Roman" w:hAnsi="Times New Roman"/>
                <w:sz w:val="20"/>
              </w:rPr>
              <w:t>2105</w:t>
            </w:r>
          </w:p>
        </w:tc>
      </w:tr>
      <w:tr>
        <w:tc>
          <w:tcPr>
            <w:tcW w:type="dxa" w:w="1872"/>
          </w:tcPr>
          <w:p>
            <w:r/>
            <w:r>
              <w:rPr>
                <w:rFonts w:ascii="Times New Roman" w:hAnsi="Times New Roman"/>
                <w:sz w:val="20"/>
              </w:rPr>
              <w:t>GRU</w:t>
            </w:r>
          </w:p>
        </w:tc>
        <w:tc>
          <w:tcPr>
            <w:tcW w:type="dxa" w:w="1872"/>
          </w:tcPr>
          <w:p>
            <w:r/>
            <w:r>
              <w:rPr>
                <w:rFonts w:ascii="Times New Roman" w:hAnsi="Times New Roman"/>
                <w:sz w:val="20"/>
              </w:rPr>
              <w:t>O(d^2)</w:t>
            </w:r>
          </w:p>
        </w:tc>
        <w:tc>
          <w:tcPr>
            <w:tcW w:type="dxa" w:w="1872"/>
          </w:tcPr>
          <w:p>
            <w:r/>
            <w:r>
              <w:rPr>
                <w:rFonts w:ascii="Times New Roman" w:hAnsi="Times New Roman"/>
                <w:sz w:val="20"/>
              </w:rPr>
              <w:t>O(d)</w:t>
            </w:r>
          </w:p>
        </w:tc>
        <w:tc>
          <w:tcPr>
            <w:tcW w:type="dxa" w:w="1872"/>
          </w:tcPr>
          <w:p>
            <w:r/>
            <w:r>
              <w:rPr>
                <w:rFonts w:ascii="Times New Roman" w:hAnsi="Times New Roman"/>
                <w:sz w:val="20"/>
              </w:rPr>
              <w:t>-</w:t>
            </w:r>
          </w:p>
        </w:tc>
        <w:tc>
          <w:tcPr>
            <w:tcW w:type="dxa" w:w="1872"/>
          </w:tcPr>
          <w:p>
            <w:r/>
            <w:r>
              <w:rPr>
                <w:rFonts w:ascii="Times New Roman" w:hAnsi="Times New Roman"/>
                <w:sz w:val="20"/>
              </w:rPr>
              <w:t>4993</w:t>
            </w:r>
          </w:p>
        </w:tc>
      </w:tr>
      <w:tr>
        <w:tc>
          <w:tcPr>
            <w:tcW w:type="dxa" w:w="1872"/>
          </w:tcPr>
          <w:p>
            <w:r/>
            <w:r>
              <w:rPr>
                <w:rFonts w:ascii="Times New Roman" w:hAnsi="Times New Roman"/>
                <w:sz w:val="20"/>
              </w:rPr>
              <w:t>GRU+Time</w:t>
            </w:r>
          </w:p>
        </w:tc>
        <w:tc>
          <w:tcPr>
            <w:tcW w:type="dxa" w:w="1872"/>
          </w:tcPr>
          <w:p>
            <w:r/>
            <w:r>
              <w:rPr>
                <w:rFonts w:ascii="Times New Roman" w:hAnsi="Times New Roman"/>
                <w:sz w:val="20"/>
              </w:rPr>
              <w:t>O(d^2)</w:t>
            </w:r>
          </w:p>
        </w:tc>
        <w:tc>
          <w:tcPr>
            <w:tcW w:type="dxa" w:w="1872"/>
          </w:tcPr>
          <w:p>
            <w:r/>
            <w:r>
              <w:rPr>
                <w:rFonts w:ascii="Times New Roman" w:hAnsi="Times New Roman"/>
                <w:sz w:val="20"/>
              </w:rPr>
              <w:t>O(d)</w:t>
            </w:r>
          </w:p>
        </w:tc>
        <w:tc>
          <w:tcPr>
            <w:tcW w:type="dxa" w:w="1872"/>
          </w:tcPr>
          <w:p>
            <w:r/>
            <w:r>
              <w:rPr>
                <w:rFonts w:ascii="Times New Roman" w:hAnsi="Times New Roman"/>
                <w:sz w:val="20"/>
              </w:rPr>
              <w:t>-</w:t>
            </w:r>
          </w:p>
        </w:tc>
        <w:tc>
          <w:tcPr>
            <w:tcW w:type="dxa" w:w="1872"/>
          </w:tcPr>
          <w:p>
            <w:r/>
            <w:r>
              <w:rPr>
                <w:rFonts w:ascii="Times New Roman" w:hAnsi="Times New Roman"/>
                <w:sz w:val="20"/>
              </w:rPr>
              <w:t>5121</w:t>
            </w:r>
          </w:p>
        </w:tc>
      </w:tr>
      <w:tr>
        <w:tc>
          <w:tcPr>
            <w:tcW w:type="dxa" w:w="1872"/>
          </w:tcPr>
          <w:p>
            <w:r/>
            <w:r>
              <w:rPr>
                <w:rFonts w:ascii="Times New Roman" w:hAnsi="Times New Roman"/>
                <w:sz w:val="20"/>
              </w:rPr>
              <w:t>xLSTM</w:t>
            </w:r>
          </w:p>
        </w:tc>
        <w:tc>
          <w:tcPr>
            <w:tcW w:type="dxa" w:w="1872"/>
          </w:tcPr>
          <w:p>
            <w:r/>
            <w:r>
              <w:rPr>
                <w:rFonts w:ascii="Times New Roman" w:hAnsi="Times New Roman"/>
                <w:sz w:val="20"/>
              </w:rPr>
              <w:t>O(d^2)</w:t>
            </w:r>
          </w:p>
        </w:tc>
        <w:tc>
          <w:tcPr>
            <w:tcW w:type="dxa" w:w="1872"/>
          </w:tcPr>
          <w:p>
            <w:r/>
            <w:r>
              <w:rPr>
                <w:rFonts w:ascii="Times New Roman" w:hAnsi="Times New Roman"/>
                <w:sz w:val="20"/>
              </w:rPr>
              <w:t>O(d)</w:t>
            </w:r>
          </w:p>
        </w:tc>
        <w:tc>
          <w:tcPr>
            <w:tcW w:type="dxa" w:w="1872"/>
          </w:tcPr>
          <w:p>
            <w:r/>
            <w:r>
              <w:rPr>
                <w:rFonts w:ascii="Times New Roman" w:hAnsi="Times New Roman"/>
                <w:sz w:val="20"/>
              </w:rPr>
              <w:t>-</w:t>
            </w:r>
          </w:p>
        </w:tc>
        <w:tc>
          <w:tcPr>
            <w:tcW w:type="dxa" w:w="1872"/>
          </w:tcPr>
          <w:p>
            <w:r/>
            <w:r>
              <w:rPr>
                <w:rFonts w:ascii="Times New Roman" w:hAnsi="Times New Roman"/>
                <w:sz w:val="20"/>
              </w:rPr>
              <w:t>4993</w:t>
            </w:r>
          </w:p>
        </w:tc>
      </w:tr>
      <w:tr>
        <w:tc>
          <w:tcPr>
            <w:tcW w:type="dxa" w:w="1872"/>
          </w:tcPr>
          <w:p>
            <w:r/>
            <w:r>
              <w:rPr>
                <w:rFonts w:ascii="Times New Roman" w:hAnsi="Times New Roman"/>
                <w:sz w:val="20"/>
              </w:rPr>
              <w:t>LTC</w:t>
            </w:r>
          </w:p>
        </w:tc>
        <w:tc>
          <w:tcPr>
            <w:tcW w:type="dxa" w:w="1872"/>
          </w:tcPr>
          <w:p>
            <w:r/>
            <w:r>
              <w:rPr>
                <w:rFonts w:ascii="Times New Roman" w:hAnsi="Times New Roman"/>
                <w:sz w:val="20"/>
              </w:rPr>
              <w:t>O(d^2*S)</w:t>
            </w:r>
          </w:p>
        </w:tc>
        <w:tc>
          <w:tcPr>
            <w:tcW w:type="dxa" w:w="1872"/>
          </w:tcPr>
          <w:p>
            <w:r/>
            <w:r>
              <w:rPr>
                <w:rFonts w:ascii="Times New Roman" w:hAnsi="Times New Roman"/>
                <w:sz w:val="20"/>
              </w:rPr>
              <w:t>O(d)</w:t>
            </w:r>
          </w:p>
        </w:tc>
        <w:tc>
          <w:tcPr>
            <w:tcW w:type="dxa" w:w="1872"/>
          </w:tcPr>
          <w:p>
            <w:r/>
            <w:r>
              <w:rPr>
                <w:rFonts w:ascii="Times New Roman" w:hAnsi="Times New Roman"/>
                <w:sz w:val="20"/>
              </w:rPr>
              <w:t>3-5</w:t>
            </w:r>
          </w:p>
        </w:tc>
        <w:tc>
          <w:tcPr>
            <w:tcW w:type="dxa" w:w="1872"/>
          </w:tcPr>
          <w:p>
            <w:r/>
            <w:r>
              <w:rPr>
                <w:rFonts w:ascii="Times New Roman" w:hAnsi="Times New Roman"/>
                <w:sz w:val="20"/>
              </w:rPr>
              <w:t>3665</w:t>
            </w:r>
          </w:p>
        </w:tc>
      </w:tr>
      <w:tr>
        <w:tc>
          <w:tcPr>
            <w:tcW w:type="dxa" w:w="1872"/>
          </w:tcPr>
          <w:p>
            <w:r/>
            <w:r>
              <w:rPr>
                <w:rFonts w:ascii="Times New Roman" w:hAnsi="Times New Roman"/>
                <w:sz w:val="20"/>
              </w:rPr>
              <w:t>CfC</w:t>
            </w:r>
          </w:p>
        </w:tc>
        <w:tc>
          <w:tcPr>
            <w:tcW w:type="dxa" w:w="1872"/>
          </w:tcPr>
          <w:p>
            <w:r/>
            <w:r>
              <w:rPr>
                <w:rFonts w:ascii="Times New Roman" w:hAnsi="Times New Roman"/>
                <w:sz w:val="20"/>
              </w:rPr>
              <w:t>O(d^2)</w:t>
            </w:r>
          </w:p>
        </w:tc>
        <w:tc>
          <w:tcPr>
            <w:tcW w:type="dxa" w:w="1872"/>
          </w:tcPr>
          <w:p>
            <w:r/>
            <w:r>
              <w:rPr>
                <w:rFonts w:ascii="Times New Roman" w:hAnsi="Times New Roman"/>
                <w:sz w:val="20"/>
              </w:rPr>
              <w:t>O(d)</w:t>
            </w:r>
          </w:p>
        </w:tc>
        <w:tc>
          <w:tcPr>
            <w:tcW w:type="dxa" w:w="1872"/>
          </w:tcPr>
          <w:p>
            <w:r/>
            <w:r>
              <w:rPr>
                <w:rFonts w:ascii="Times New Roman" w:hAnsi="Times New Roman"/>
                <w:sz w:val="20"/>
              </w:rPr>
              <w:t>1 (closed-form)</w:t>
            </w:r>
          </w:p>
        </w:tc>
        <w:tc>
          <w:tcPr>
            <w:tcW w:type="dxa" w:w="1872"/>
          </w:tcPr>
          <w:p>
            <w:r/>
            <w:r>
              <w:rPr>
                <w:rFonts w:ascii="Times New Roman" w:hAnsi="Times New Roman"/>
                <w:sz w:val="20"/>
              </w:rPr>
              <w:t>3665</w:t>
            </w:r>
          </w:p>
        </w:tc>
      </w:tr>
      <w:tr>
        <w:tc>
          <w:tcPr>
            <w:tcW w:type="dxa" w:w="1872"/>
          </w:tcPr>
          <w:p>
            <w:r/>
            <w:r>
              <w:rPr>
                <w:rFonts w:ascii="Times New Roman" w:hAnsi="Times New Roman"/>
                <w:sz w:val="20"/>
              </w:rPr>
              <w:t>Neural ODE</w:t>
            </w:r>
          </w:p>
        </w:tc>
        <w:tc>
          <w:tcPr>
            <w:tcW w:type="dxa" w:w="1872"/>
          </w:tcPr>
          <w:p>
            <w:r/>
            <w:r>
              <w:rPr>
                <w:rFonts w:ascii="Times New Roman" w:hAnsi="Times New Roman"/>
                <w:sz w:val="20"/>
              </w:rPr>
              <w:t>O(d^2*K)</w:t>
            </w:r>
          </w:p>
        </w:tc>
        <w:tc>
          <w:tcPr>
            <w:tcW w:type="dxa" w:w="1872"/>
          </w:tcPr>
          <w:p>
            <w:r/>
            <w:r>
              <w:rPr>
                <w:rFonts w:ascii="Times New Roman" w:hAnsi="Times New Roman"/>
                <w:sz w:val="20"/>
              </w:rPr>
              <w:t>O(d*K)</w:t>
            </w:r>
          </w:p>
        </w:tc>
        <w:tc>
          <w:tcPr>
            <w:tcW w:type="dxa" w:w="1872"/>
          </w:tcPr>
          <w:p>
            <w:r/>
            <w:r>
              <w:rPr>
                <w:rFonts w:ascii="Times New Roman" w:hAnsi="Times New Roman"/>
                <w:sz w:val="20"/>
              </w:rPr>
              <w:t>5-10</w:t>
            </w:r>
          </w:p>
        </w:tc>
        <w:tc>
          <w:tcPr>
            <w:tcW w:type="dxa" w:w="1872"/>
          </w:tcPr>
          <w:p>
            <w:r/>
            <w:r>
              <w:rPr>
                <w:rFonts w:ascii="Times New Roman" w:hAnsi="Times New Roman"/>
                <w:sz w:val="20"/>
              </w:rPr>
              <w:t>3170</w:t>
            </w:r>
          </w:p>
        </w:tc>
      </w:tr>
      <w:tr>
        <w:tc>
          <w:tcPr>
            <w:tcW w:type="dxa" w:w="1872"/>
          </w:tcPr>
          <w:p>
            <w:r/>
            <w:r>
              <w:rPr>
                <w:rFonts w:ascii="Times New Roman" w:hAnsi="Times New Roman"/>
                <w:sz w:val="20"/>
              </w:rPr>
              <w:t>CCT-LNN</w:t>
            </w:r>
          </w:p>
        </w:tc>
        <w:tc>
          <w:tcPr>
            <w:tcW w:type="dxa" w:w="1872"/>
          </w:tcPr>
          <w:p>
            <w:r/>
            <w:r>
              <w:rPr>
                <w:rFonts w:ascii="Times New Roman" w:hAnsi="Times New Roman"/>
                <w:sz w:val="20"/>
              </w:rPr>
              <w:t>O(d^2*S+d*C)</w:t>
            </w:r>
          </w:p>
        </w:tc>
        <w:tc>
          <w:tcPr>
            <w:tcW w:type="dxa" w:w="1872"/>
          </w:tcPr>
          <w:p>
            <w:r/>
            <w:r>
              <w:rPr>
                <w:rFonts w:ascii="Times New Roman" w:hAnsi="Times New Roman"/>
                <w:sz w:val="20"/>
              </w:rPr>
              <w:t>O(d+C)</w:t>
            </w:r>
          </w:p>
        </w:tc>
        <w:tc>
          <w:tcPr>
            <w:tcW w:type="dxa" w:w="1872"/>
          </w:tcPr>
          <w:p>
            <w:r/>
            <w:r>
              <w:rPr>
                <w:rFonts w:ascii="Times New Roman" w:hAnsi="Times New Roman"/>
                <w:sz w:val="20"/>
              </w:rPr>
              <w:t>3-5</w:t>
            </w:r>
          </w:p>
        </w:tc>
        <w:tc>
          <w:tcPr>
            <w:tcW w:type="dxa" w:w="1872"/>
          </w:tcPr>
          <w:p>
            <w:r/>
            <w:r>
              <w:rPr>
                <w:rFonts w:ascii="Times New Roman" w:hAnsi="Times New Roman"/>
                <w:sz w:val="20"/>
              </w:rPr>
              <w:t>4257</w:t>
            </w:r>
          </w:p>
        </w:tc>
      </w:tr>
      <w:tr>
        <w:tc>
          <w:tcPr>
            <w:tcW w:type="dxa" w:w="1872"/>
          </w:tcPr>
          <w:p>
            <w:r/>
            <w:r>
              <w:rPr>
                <w:rFonts w:ascii="Times New Roman" w:hAnsi="Times New Roman"/>
                <w:sz w:val="20"/>
              </w:rPr>
              <w:t>Transformer</w:t>
            </w:r>
          </w:p>
        </w:tc>
        <w:tc>
          <w:tcPr>
            <w:tcW w:type="dxa" w:w="1872"/>
          </w:tcPr>
          <w:p>
            <w:r/>
            <w:r>
              <w:rPr>
                <w:rFonts w:ascii="Times New Roman" w:hAnsi="Times New Roman"/>
                <w:sz w:val="20"/>
              </w:rPr>
              <w:t>O(n^2*d)</w:t>
            </w:r>
          </w:p>
        </w:tc>
        <w:tc>
          <w:tcPr>
            <w:tcW w:type="dxa" w:w="1872"/>
          </w:tcPr>
          <w:p>
            <w:r/>
            <w:r>
              <w:rPr>
                <w:rFonts w:ascii="Times New Roman" w:hAnsi="Times New Roman"/>
                <w:sz w:val="20"/>
              </w:rPr>
              <w:t>O(n*d)</w:t>
            </w:r>
          </w:p>
        </w:tc>
        <w:tc>
          <w:tcPr>
            <w:tcW w:type="dxa" w:w="1872"/>
          </w:tcPr>
          <w:p>
            <w:r/>
            <w:r>
              <w:rPr>
                <w:rFonts w:ascii="Times New Roman" w:hAnsi="Times New Roman"/>
                <w:sz w:val="20"/>
              </w:rPr>
              <w:t>-</w:t>
            </w:r>
          </w:p>
        </w:tc>
        <w:tc>
          <w:tcPr>
            <w:tcW w:type="dxa" w:w="1872"/>
          </w:tcPr>
          <w:p>
            <w:r/>
            <w:r>
              <w:rPr>
                <w:rFonts w:ascii="Times New Roman" w:hAnsi="Times New Roman"/>
                <w:sz w:val="20"/>
              </w:rPr>
              <w:t>4321</w:t>
            </w:r>
          </w:p>
        </w:tc>
      </w:tr>
    </w:tbl>
    <w:p/>
    <w:p>
      <w:pPr>
        <w:spacing w:before="240" w:after="120"/>
      </w:pPr>
      <w:r>
        <w:rPr>
          <w:rFonts w:ascii="Times New Roman" w:hAnsi="Times New Roman"/>
          <w:b/>
          <w:sz w:val="28"/>
        </w:rPr>
        <w:t>3. Related Work</w:t>
      </w:r>
    </w:p>
    <w:p>
      <w:pPr>
        <w:spacing w:before="120" w:after="120"/>
      </w:pPr>
      <w:r>
        <w:rPr>
          <w:rFonts w:ascii="Times New Roman" w:hAnsi="Times New Roman"/>
          <w:b/>
          <w:sz w:val="24"/>
        </w:rPr>
        <w:t>3.1 Agent Memory Mechanisms</w:t>
      </w:r>
    </w:p>
    <w:p>
      <w:pPr>
        <w:spacing w:line="480" w:lineRule="auto"/>
        <w:jc w:val="left"/>
      </w:pPr>
      <w:r>
        <w:rPr>
          <w:rFonts w:ascii="Times New Roman" w:hAnsi="Times New Roman"/>
          <w:sz w:val="24"/>
        </w:rPr>
        <w:t>Mem0 [1] improves multi-session consistency by 25-35%. SAGE [3] adds self-evolving capabilities with graph-enhanced memory. MemQ [17] combines Q-learning with provenance DAG for retrieval. MemoryBank [18] enables long-term consolidation with Ebbinghaus-inspired decay. Generative Agents [19] use importance scoring but not temporal decay. None of these works systematically compare decay model architectures.</w:t>
      </w:r>
    </w:p>
    <w:p>
      <w:pPr>
        <w:spacing w:before="120" w:after="120"/>
      </w:pPr>
      <w:r>
        <w:rPr>
          <w:rFonts w:ascii="Times New Roman" w:hAnsi="Times New Roman"/>
          <w:b/>
          <w:sz w:val="24"/>
        </w:rPr>
        <w:t>3.2 Continuous-Time Neural Networks</w:t>
      </w:r>
    </w:p>
    <w:p>
      <w:pPr>
        <w:spacing w:line="480" w:lineRule="auto"/>
        <w:jc w:val="left"/>
      </w:pPr>
      <w:r>
        <w:rPr>
          <w:rFonts w:ascii="Times New Roman" w:hAnsi="Times New Roman"/>
          <w:sz w:val="24"/>
        </w:rPr>
        <w:t>LTC [5] introduced continuous-time networks with input-dependent tau. CfC [9] provided analytical ODE solutions for faster inference. Neural ODE [10] generalizes to arbitrary continuous dynamics. Recent variants include uncertainty-aware LNN [20] and hybrid LNN-Transformer [21]. Mamba [12] and S4 [22] apply state-space models to long sequences. Titans [23] and xLSTM [11] introduce test-time memory mechanisms. Our work is the first to compare these architectures on the specific task of agent memory decay ranking.</w:t>
      </w:r>
    </w:p>
    <w:p>
      <w:pPr>
        <w:spacing w:before="120" w:after="120"/>
      </w:pPr>
      <w:r>
        <w:rPr>
          <w:rFonts w:ascii="Times New Roman" w:hAnsi="Times New Roman"/>
          <w:b/>
          <w:sz w:val="24"/>
        </w:rPr>
        <w:t>3.3 Forgetting in Cognitive Science</w:t>
      </w:r>
    </w:p>
    <w:p>
      <w:pPr>
        <w:spacing w:line="480" w:lineRule="auto"/>
        <w:jc w:val="left"/>
      </w:pPr>
      <w:r>
        <w:rPr>
          <w:rFonts w:ascii="Times New Roman" w:hAnsi="Times New Roman"/>
          <w:sz w:val="24"/>
        </w:rPr>
        <w:t>Ebbinghaus [4] documented exponential forgetting over a century ago. ACT-R [24] models memory activation as a power-law decay function. Wixted [25] distinguishes between trace decay and interference. Anderson et al. [26] integrate retrieval interference with decay. These models motivate the use of exponential/power-law decay in agent systems, but the question of which computational architecture best implements these dynamics remains open.</w:t>
      </w:r>
    </w:p>
    <w:p>
      <w:pPr>
        <w:spacing w:before="240" w:after="120"/>
      </w:pPr>
      <w:r>
        <w:rPr>
          <w:rFonts w:ascii="Times New Roman" w:hAnsi="Times New Roman"/>
          <w:b/>
          <w:sz w:val="28"/>
        </w:rPr>
        <w:t>4. Experimental Setup</w:t>
      </w:r>
    </w:p>
    <w:p>
      <w:pPr>
        <w:spacing w:before="120" w:after="120"/>
      </w:pPr>
      <w:r>
        <w:rPr>
          <w:rFonts w:ascii="Times New Roman" w:hAnsi="Times New Roman"/>
          <w:b/>
          <w:sz w:val="24"/>
        </w:rPr>
        <w:t>4.1 Datasets</w:t>
      </w:r>
    </w:p>
    <w:p>
      <w:pPr>
        <w:spacing w:line="480" w:lineRule="auto"/>
        <w:jc w:val="left"/>
      </w:pPr>
      <w:r>
        <w:rPr>
          <w:rFonts w:ascii="Times New Roman" w:hAnsi="Times New Roman"/>
          <w:sz w:val="24"/>
        </w:rPr>
        <w:t>Table 1 summarizes the evaluation dataset. PersonaChat [14] contains 100 users with an average of 33 memory entries each, spanning 8 categories (food, hobbies, movies, music, pets, sports, travel, work). Memory entries are dialogue-derived facts with timestamps. Relevance labels are continuous values computed as r = max_j(cos_sim(q, c_j) * exp(-0.01 * Delta_t_j)), capturing both semantic similarity and temporal decay. This continuous formulation avoids the binary classification pitfall where all models trivially predict the majority class.</w:t>
      </w:r>
    </w:p>
    <w:p>
      <w:pPr>
        <w:spacing w:line="480" w:lineRule="auto"/>
        <w:jc w:val="left"/>
      </w:pPr>
      <w:r>
        <w:rPr>
          <w:rFonts w:ascii="Times New Roman" w:hAnsi="Times New Roman"/>
          <w:sz w:val="24"/>
        </w:rPr>
        <w:t>Table 1: Evaluation Dataset (PersonaChat)</w:t>
      </w:r>
    </w:p>
    <w:p>
      <w:pPr>
        <w:spacing w:line="480" w:lineRule="auto"/>
        <w:jc w:val="left"/>
      </w:pPr>
      <w:r>
        <w:rPr>
          <w:rFonts w:ascii="Times New Roman" w:hAnsi="Times New Roman"/>
          <w:sz w:val="24"/>
        </w:rPr>
        <w:t>Metric | Value</w:t>
      </w:r>
    </w:p>
    <w:p>
      <w:pPr>
        <w:spacing w:line="480" w:lineRule="auto"/>
        <w:jc w:val="left"/>
      </w:pPr>
      <w:r>
        <w:rPr>
          <w:rFonts w:ascii="Times New Roman" w:hAnsi="Times New Roman"/>
          <w:sz w:val="24"/>
        </w:rPr>
        <w:t>Users | 100</w:t>
      </w:r>
    </w:p>
    <w:p>
      <w:pPr>
        <w:spacing w:line="480" w:lineRule="auto"/>
        <w:jc w:val="left"/>
      </w:pPr>
      <w:r>
        <w:rPr>
          <w:rFonts w:ascii="Times New Roman" w:hAnsi="Times New Roman"/>
          <w:sz w:val="24"/>
        </w:rPr>
        <w:t>Avg entries/user | 33</w:t>
      </w:r>
    </w:p>
    <w:p>
      <w:pPr>
        <w:spacing w:line="480" w:lineRule="auto"/>
        <w:jc w:val="left"/>
      </w:pPr>
      <w:r>
        <w:rPr>
          <w:rFonts w:ascii="Times New Roman" w:hAnsi="Times New Roman"/>
          <w:sz w:val="24"/>
        </w:rPr>
        <w:t>Categories | 8</w:t>
      </w:r>
    </w:p>
    <w:p>
      <w:pPr>
        <w:spacing w:line="480" w:lineRule="auto"/>
        <w:jc w:val="left"/>
      </w:pPr>
      <w:r>
        <w:rPr>
          <w:rFonts w:ascii="Times New Roman" w:hAnsi="Times New Roman"/>
          <w:sz w:val="24"/>
        </w:rPr>
        <w:t>Regression tasks | 500</w:t>
      </w:r>
    </w:p>
    <w:p>
      <w:pPr>
        <w:spacing w:line="480" w:lineRule="auto"/>
        <w:jc w:val="left"/>
      </w:pPr>
      <w:r>
        <w:rPr>
          <w:rFonts w:ascii="Times New Roman" w:hAnsi="Times New Roman"/>
          <w:sz w:val="24"/>
        </w:rPr>
        <w:t>Ranking tasks | 400</w:t>
      </w:r>
    </w:p>
    <w:p>
      <w:pPr>
        <w:spacing w:line="480" w:lineRule="auto"/>
        <w:jc w:val="left"/>
      </w:pPr>
      <w:r>
        <w:rPr>
          <w:rFonts w:ascii="Times New Roman" w:hAnsi="Times New Roman"/>
          <w:sz w:val="24"/>
        </w:rPr>
        <w:t>Relevance mean | 0.634</w:t>
      </w:r>
    </w:p>
    <w:p>
      <w:pPr>
        <w:spacing w:line="480" w:lineRule="auto"/>
        <w:jc w:val="left"/>
      </w:pPr>
      <w:r>
        <w:rPr>
          <w:rFonts w:ascii="Times New Roman" w:hAnsi="Times New Roman"/>
          <w:sz w:val="24"/>
        </w:rPr>
        <w:t>Relevance std | 0.207</w:t>
      </w:r>
    </w:p>
    <w:p>
      <w:pPr>
        <w:spacing w:line="480" w:lineRule="auto"/>
        <w:jc w:val="left"/>
      </w:pPr>
      <w:r>
        <w:rPr>
          <w:rFonts w:ascii="Times New Roman" w:hAnsi="Times New Roman"/>
          <w:sz w:val="24"/>
        </w:rPr>
        <w:t>Relevance range | [0.000, 0.860]</w:t>
      </w:r>
    </w:p>
    <w:p>
      <w:pPr>
        <w:spacing w:before="120" w:after="120"/>
      </w:pPr>
      <w:r>
        <w:rPr>
          <w:rFonts w:ascii="Times New Roman" w:hAnsi="Times New Roman"/>
          <w:b/>
          <w:sz w:val="24"/>
        </w:rPr>
        <w:t>4.2 Models</w:t>
      </w:r>
    </w:p>
    <w:p>
      <w:pPr>
        <w:spacing w:line="480" w:lineRule="auto"/>
        <w:jc w:val="left"/>
      </w:pPr>
      <w:r>
        <w:rPr>
          <w:rFonts w:ascii="Times New Roman" w:hAnsi="Times New Roman"/>
          <w:sz w:val="24"/>
        </w:rPr>
        <w:t>Table 2 lists all 8 models with their parameter counts. All models use the same input dimension (64), hidden dimension (16), and output head (linear projection + sigmoid for relevance prediction). Training uses Adam optimizer with learning rate 0.005 (0.002 for CCT-LNN) and MSE loss. Early stopping with patience 5 on validation loss.</w:t>
      </w:r>
    </w:p>
    <w:p>
      <w:pPr>
        <w:spacing w:line="480" w:lineRule="auto"/>
        <w:jc w:val="left"/>
      </w:pPr>
      <w:r>
        <w:rPr>
          <w:rFonts w:ascii="Times New Roman" w:hAnsi="Times New Roman"/>
          <w:sz w:val="24"/>
        </w:rPr>
        <w:t>Table 2: Model Architectures and Parameter Counts</w:t>
      </w:r>
    </w:p>
    <w:p>
      <w:pPr>
        <w:spacing w:line="480" w:lineRule="auto"/>
        <w:jc w:val="left"/>
      </w:pPr>
      <w:r>
        <w:rPr>
          <w:rFonts w:ascii="Times New Roman" w:hAnsi="Times New Roman"/>
          <w:sz w:val="24"/>
        </w:rPr>
        <w:t>CCT-LNN (Category-Conditioned Tau LNN) is a novel variant we propose: tau_c = tau_base * sigma(w_x*x + w_c*e_c + w_h*h + b), where e_c is a learned category embedding. This extends standard LTC by conditioning the time constant on memory category.</w:t>
      </w:r>
    </w:p>
    <w:p>
      <w:pPr>
        <w:spacing w:before="120" w:after="120"/>
      </w:pPr>
      <w:r>
        <w:rPr>
          <w:rFonts w:ascii="Times New Roman" w:hAnsi="Times New Roman"/>
          <w:b/>
          <w:sz w:val="24"/>
        </w:rPr>
        <w:t>4.3 Evaluation Metrics</w:t>
      </w:r>
    </w:p>
    <w:p>
      <w:pPr>
        <w:spacing w:line="480" w:lineRule="auto"/>
        <w:jc w:val="left"/>
      </w:pPr>
      <w:r>
        <w:rPr>
          <w:rFonts w:ascii="Times New Roman" w:hAnsi="Times New Roman"/>
          <w:sz w:val="24"/>
        </w:rPr>
        <w:t>We evaluate using three complementary paradigms:</w:t>
      </w:r>
    </w:p>
    <w:p>
      <w:pPr>
        <w:spacing w:line="480" w:lineRule="auto"/>
        <w:jc w:val="left"/>
      </w:pPr>
      <w:r>
        <w:rPr>
          <w:rFonts w:ascii="Times New Roman" w:hAnsi="Times New Roman"/>
          <w:sz w:val="24"/>
        </w:rPr>
        <w:t>Exp-1 (Standard Regression): MSE and Spearman rho between predicted and actual relevance scores. This tests point prediction accuracy.</w:t>
      </w:r>
    </w:p>
    <w:p>
      <w:pPr>
        <w:spacing w:line="480" w:lineRule="auto"/>
        <w:jc w:val="left"/>
      </w:pPr>
      <w:r>
        <w:rPr>
          <w:rFonts w:ascii="Times New Roman" w:hAnsi="Times New Roman"/>
          <w:sz w:val="24"/>
        </w:rPr>
        <w:t>Exp-2 (Focal Weighted Regression): Same as Exp-1 but with Focal MSE loss (gamma=2) that upweights hard examples, plus Top-20% overlap measuring whether the model's top predictions match the actual top memories.</w:t>
      </w:r>
    </w:p>
    <w:p>
      <w:pPr>
        <w:spacing w:line="480" w:lineRule="auto"/>
        <w:jc w:val="left"/>
      </w:pPr>
      <w:r>
        <w:rPr>
          <w:rFonts w:ascii="Times New Roman" w:hAnsi="Times New Roman"/>
          <w:sz w:val="24"/>
        </w:rPr>
        <w:t>Exp-3 (Per-Timestep Ranking Quality): NDCG@5 (Normalized Discounted Cumulative Gain), MRR (Mean Reciprocal Rank), and Kendall tau (rank correlation). Models are trained with per-timestep MSE on relevance and a learned scorer network (HD -&gt; HD -&gt; 1 -&gt; sigmoid). This directly measures the model's ability to rank memories by relevance, which is the actual task in memory retrieval systems.</w:t>
      </w:r>
    </w:p>
    <w:p>
      <w:pPr>
        <w:spacing w:line="480" w:lineRule="auto"/>
        <w:jc w:val="left"/>
      </w:pPr>
      <w:r>
        <w:rPr>
          <w:rFonts w:ascii="Times New Roman" w:hAnsi="Times New Roman"/>
          <w:sz w:val="24"/>
        </w:rPr>
        <w:t>All experiments use 3 random seeds (Exp-1/2: 5 seeds) with train/validation/test splits (60/20/20). Statistical significance uses paired t-test with Bonferroni correction.</w:t>
      </w:r>
    </w:p>
    <w:p>
      <w:pPr>
        <w:spacing w:before="240" w:after="120"/>
      </w:pPr>
      <w:r>
        <w:rPr>
          <w:rFonts w:ascii="Times New Roman" w:hAnsi="Times New Roman"/>
          <w:b/>
          <w:sz w:val="28"/>
        </w:rPr>
        <w:t>5. Results</w:t>
      </w:r>
    </w:p>
    <w:p>
      <w:pPr>
        <w:spacing w:before="120" w:after="120"/>
      </w:pPr>
      <w:r>
        <w:rPr>
          <w:rFonts w:ascii="Times New Roman" w:hAnsi="Times New Roman"/>
          <w:b/>
          <w:sz w:val="24"/>
        </w:rPr>
        <w:t>5.1 Exp-1: Standard Regression</w:t>
      </w:r>
    </w:p>
    <w:p>
      <w:pPr>
        <w:spacing w:line="480" w:lineRule="auto"/>
        <w:jc w:val="left"/>
      </w:pPr>
      <w:r>
        <w:rPr>
          <w:rFonts w:ascii="Times New Roman" w:hAnsi="Times New Roman"/>
          <w:sz w:val="24"/>
        </w:rPr>
        <w:t>Table 3 presents regression results on PersonaChat. All models converge to similar MSE (0.036-0.040), with differences within noise. Spearman rho values are near zero (range: -0.031 to 0.112), indicating that while models learn to predict the mean relevance, they do not learn to rank individual memories. The synthetic decay task (max cosine similarity * exponential decay) is within all models' capacity, making MSE an insufficient discriminator.</w:t>
      </w:r>
    </w:p>
    <w:p>
      <w:pPr>
        <w:spacing w:line="480" w:lineRule="auto"/>
        <w:jc w:val="left"/>
      </w:pPr>
      <w:r>
        <w:rPr>
          <w:rFonts w:ascii="Times New Roman" w:hAnsi="Times New Roman"/>
          <w:sz w:val="24"/>
        </w:rPr>
        <w:t>Table 3: Exp-1 Regression Results (PersonaChat, 5 seeds)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0"/>
              </w:rPr>
              <w:t>Model</w:t>
            </w:r>
          </w:p>
        </w:tc>
        <w:tc>
          <w:tcPr>
            <w:tcW w:type="dxa" w:w="2340"/>
          </w:tcPr>
          <w:p>
            <w:r/>
            <w:r>
              <w:rPr>
                <w:rFonts w:ascii="Times New Roman" w:hAnsi="Times New Roman"/>
                <w:b/>
                <w:sz w:val="20"/>
              </w:rPr>
              <w:t>MSE</w:t>
            </w:r>
          </w:p>
        </w:tc>
        <w:tc>
          <w:tcPr>
            <w:tcW w:type="dxa" w:w="2340"/>
          </w:tcPr>
          <w:p>
            <w:r/>
            <w:r>
              <w:rPr>
                <w:rFonts w:ascii="Times New Roman" w:hAnsi="Times New Roman"/>
                <w:b/>
                <w:sz w:val="20"/>
              </w:rPr>
              <w:t>Spearman rho</w:t>
            </w:r>
          </w:p>
        </w:tc>
        <w:tc>
          <w:tcPr>
            <w:tcW w:type="dxa" w:w="2340"/>
          </w:tcPr>
          <w:p>
            <w:r/>
            <w:r>
              <w:rPr>
                <w:rFonts w:ascii="Times New Roman" w:hAnsi="Times New Roman"/>
                <w:b/>
                <w:sz w:val="20"/>
              </w:rPr>
              <w:t>Params</w:t>
            </w:r>
          </w:p>
        </w:tc>
      </w:tr>
      <w:tr>
        <w:tc>
          <w:tcPr>
            <w:tcW w:type="dxa" w:w="2340"/>
          </w:tcPr>
          <w:p>
            <w:r/>
            <w:r>
              <w:rPr>
                <w:rFonts w:ascii="Times New Roman" w:hAnsi="Times New Roman"/>
                <w:sz w:val="20"/>
              </w:rPr>
              <w:t>GRU+Time</w:t>
            </w:r>
          </w:p>
        </w:tc>
        <w:tc>
          <w:tcPr>
            <w:tcW w:type="dxa" w:w="2340"/>
          </w:tcPr>
          <w:p>
            <w:r/>
            <w:r>
              <w:rPr>
                <w:rFonts w:ascii="Times New Roman" w:hAnsi="Times New Roman"/>
                <w:sz w:val="20"/>
              </w:rPr>
              <w:t>0.0366</w:t>
            </w:r>
          </w:p>
        </w:tc>
        <w:tc>
          <w:tcPr>
            <w:tcW w:type="dxa" w:w="2340"/>
          </w:tcPr>
          <w:p>
            <w:r/>
            <w:r>
              <w:rPr>
                <w:rFonts w:ascii="Times New Roman" w:hAnsi="Times New Roman"/>
                <w:sz w:val="20"/>
              </w:rPr>
              <w:t>0.091</w:t>
            </w:r>
          </w:p>
        </w:tc>
        <w:tc>
          <w:tcPr>
            <w:tcW w:type="dxa" w:w="2340"/>
          </w:tcPr>
          <w:p>
            <w:r/>
            <w:r>
              <w:rPr>
                <w:rFonts w:ascii="Times New Roman" w:hAnsi="Times New Roman"/>
                <w:sz w:val="20"/>
              </w:rPr>
              <w:t>5121</w:t>
            </w:r>
          </w:p>
        </w:tc>
      </w:tr>
      <w:tr>
        <w:tc>
          <w:tcPr>
            <w:tcW w:type="dxa" w:w="2340"/>
          </w:tcPr>
          <w:p>
            <w:r/>
            <w:r>
              <w:rPr>
                <w:rFonts w:ascii="Times New Roman" w:hAnsi="Times New Roman"/>
                <w:sz w:val="20"/>
              </w:rPr>
              <w:t>Neural ODE</w:t>
            </w:r>
          </w:p>
        </w:tc>
        <w:tc>
          <w:tcPr>
            <w:tcW w:type="dxa" w:w="2340"/>
          </w:tcPr>
          <w:p>
            <w:r/>
            <w:r>
              <w:rPr>
                <w:rFonts w:ascii="Times New Roman" w:hAnsi="Times New Roman"/>
                <w:sz w:val="20"/>
              </w:rPr>
              <w:t>0.0369</w:t>
            </w:r>
          </w:p>
        </w:tc>
        <w:tc>
          <w:tcPr>
            <w:tcW w:type="dxa" w:w="2340"/>
          </w:tcPr>
          <w:p>
            <w:r/>
            <w:r>
              <w:rPr>
                <w:rFonts w:ascii="Times New Roman" w:hAnsi="Times New Roman"/>
                <w:sz w:val="20"/>
              </w:rPr>
              <w:t>-0.031</w:t>
            </w:r>
          </w:p>
        </w:tc>
        <w:tc>
          <w:tcPr>
            <w:tcW w:type="dxa" w:w="2340"/>
          </w:tcPr>
          <w:p>
            <w:r/>
            <w:r>
              <w:rPr>
                <w:rFonts w:ascii="Times New Roman" w:hAnsi="Times New Roman"/>
                <w:sz w:val="20"/>
              </w:rPr>
              <w:t>3170</w:t>
            </w:r>
          </w:p>
        </w:tc>
      </w:tr>
      <w:tr>
        <w:tc>
          <w:tcPr>
            <w:tcW w:type="dxa" w:w="2340"/>
          </w:tcPr>
          <w:p>
            <w:r/>
            <w:r>
              <w:rPr>
                <w:rFonts w:ascii="Times New Roman" w:hAnsi="Times New Roman"/>
                <w:sz w:val="20"/>
              </w:rPr>
              <w:t>GRU</w:t>
            </w:r>
          </w:p>
        </w:tc>
        <w:tc>
          <w:tcPr>
            <w:tcW w:type="dxa" w:w="2340"/>
          </w:tcPr>
          <w:p>
            <w:r/>
            <w:r>
              <w:rPr>
                <w:rFonts w:ascii="Times New Roman" w:hAnsi="Times New Roman"/>
                <w:sz w:val="20"/>
              </w:rPr>
              <w:t>0.0371</w:t>
            </w:r>
          </w:p>
        </w:tc>
        <w:tc>
          <w:tcPr>
            <w:tcW w:type="dxa" w:w="2340"/>
          </w:tcPr>
          <w:p>
            <w:r/>
            <w:r>
              <w:rPr>
                <w:rFonts w:ascii="Times New Roman" w:hAnsi="Times New Roman"/>
                <w:sz w:val="20"/>
              </w:rPr>
              <w:t>0.090</w:t>
            </w:r>
          </w:p>
        </w:tc>
        <w:tc>
          <w:tcPr>
            <w:tcW w:type="dxa" w:w="2340"/>
          </w:tcPr>
          <w:p>
            <w:r/>
            <w:r>
              <w:rPr>
                <w:rFonts w:ascii="Times New Roman" w:hAnsi="Times New Roman"/>
                <w:sz w:val="20"/>
              </w:rPr>
              <w:t>4993</w:t>
            </w:r>
          </w:p>
        </w:tc>
      </w:tr>
      <w:tr>
        <w:tc>
          <w:tcPr>
            <w:tcW w:type="dxa" w:w="2340"/>
          </w:tcPr>
          <w:p>
            <w:r/>
            <w:r>
              <w:rPr>
                <w:rFonts w:ascii="Times New Roman" w:hAnsi="Times New Roman"/>
                <w:sz w:val="20"/>
              </w:rPr>
              <w:t>Transformer</w:t>
            </w:r>
          </w:p>
        </w:tc>
        <w:tc>
          <w:tcPr>
            <w:tcW w:type="dxa" w:w="2340"/>
          </w:tcPr>
          <w:p>
            <w:r/>
            <w:r>
              <w:rPr>
                <w:rFonts w:ascii="Times New Roman" w:hAnsi="Times New Roman"/>
                <w:sz w:val="20"/>
              </w:rPr>
              <w:t>0.0374</w:t>
            </w:r>
          </w:p>
        </w:tc>
        <w:tc>
          <w:tcPr>
            <w:tcW w:type="dxa" w:w="2340"/>
          </w:tcPr>
          <w:p>
            <w:r/>
            <w:r>
              <w:rPr>
                <w:rFonts w:ascii="Times New Roman" w:hAnsi="Times New Roman"/>
                <w:sz w:val="20"/>
              </w:rPr>
              <w:t>0.081</w:t>
            </w:r>
          </w:p>
        </w:tc>
        <w:tc>
          <w:tcPr>
            <w:tcW w:type="dxa" w:w="2340"/>
          </w:tcPr>
          <w:p>
            <w:r/>
            <w:r>
              <w:rPr>
                <w:rFonts w:ascii="Times New Roman" w:hAnsi="Times New Roman"/>
                <w:sz w:val="20"/>
              </w:rPr>
              <w:t>4321</w:t>
            </w:r>
          </w:p>
        </w:tc>
      </w:tr>
      <w:tr>
        <w:tc>
          <w:tcPr>
            <w:tcW w:type="dxa" w:w="2340"/>
          </w:tcPr>
          <w:p>
            <w:r/>
            <w:r>
              <w:rPr>
                <w:rFonts w:ascii="Times New Roman" w:hAnsi="Times New Roman"/>
                <w:sz w:val="20"/>
              </w:rPr>
              <w:t>LTC</w:t>
            </w:r>
          </w:p>
        </w:tc>
        <w:tc>
          <w:tcPr>
            <w:tcW w:type="dxa" w:w="2340"/>
          </w:tcPr>
          <w:p>
            <w:r/>
            <w:r>
              <w:rPr>
                <w:rFonts w:ascii="Times New Roman" w:hAnsi="Times New Roman"/>
                <w:sz w:val="20"/>
              </w:rPr>
              <w:t>0.0373</w:t>
            </w:r>
          </w:p>
        </w:tc>
        <w:tc>
          <w:tcPr>
            <w:tcW w:type="dxa" w:w="2340"/>
          </w:tcPr>
          <w:p>
            <w:r/>
            <w:r>
              <w:rPr>
                <w:rFonts w:ascii="Times New Roman" w:hAnsi="Times New Roman"/>
                <w:sz w:val="20"/>
              </w:rPr>
              <w:t>-0.016</w:t>
            </w:r>
          </w:p>
        </w:tc>
        <w:tc>
          <w:tcPr>
            <w:tcW w:type="dxa" w:w="2340"/>
          </w:tcPr>
          <w:p>
            <w:r/>
            <w:r>
              <w:rPr>
                <w:rFonts w:ascii="Times New Roman" w:hAnsi="Times New Roman"/>
                <w:sz w:val="20"/>
              </w:rPr>
              <w:t>3665</w:t>
            </w:r>
          </w:p>
        </w:tc>
      </w:tr>
      <w:tr>
        <w:tc>
          <w:tcPr>
            <w:tcW w:type="dxa" w:w="2340"/>
          </w:tcPr>
          <w:p>
            <w:r/>
            <w:r>
              <w:rPr>
                <w:rFonts w:ascii="Times New Roman" w:hAnsi="Times New Roman"/>
                <w:sz w:val="20"/>
              </w:rPr>
              <w:t>Param. ExpDecay</w:t>
            </w:r>
          </w:p>
        </w:tc>
        <w:tc>
          <w:tcPr>
            <w:tcW w:type="dxa" w:w="2340"/>
          </w:tcPr>
          <w:p>
            <w:r/>
            <w:r>
              <w:rPr>
                <w:rFonts w:ascii="Times New Roman" w:hAnsi="Times New Roman"/>
                <w:sz w:val="20"/>
              </w:rPr>
              <w:t>0.0386</w:t>
            </w:r>
          </w:p>
        </w:tc>
        <w:tc>
          <w:tcPr>
            <w:tcW w:type="dxa" w:w="2340"/>
          </w:tcPr>
          <w:p>
            <w:r/>
            <w:r>
              <w:rPr>
                <w:rFonts w:ascii="Times New Roman" w:hAnsi="Times New Roman"/>
                <w:sz w:val="20"/>
              </w:rPr>
              <w:t>0.112</w:t>
            </w:r>
          </w:p>
        </w:tc>
        <w:tc>
          <w:tcPr>
            <w:tcW w:type="dxa" w:w="2340"/>
          </w:tcPr>
          <w:p>
            <w:r/>
            <w:r>
              <w:rPr>
                <w:rFonts w:ascii="Times New Roman" w:hAnsi="Times New Roman"/>
                <w:sz w:val="20"/>
              </w:rPr>
              <w:t>2105</w:t>
            </w:r>
          </w:p>
        </w:tc>
      </w:tr>
      <w:tr>
        <w:tc>
          <w:tcPr>
            <w:tcW w:type="dxa" w:w="2340"/>
          </w:tcPr>
          <w:p>
            <w:r/>
            <w:r>
              <w:rPr>
                <w:rFonts w:ascii="Times New Roman" w:hAnsi="Times New Roman"/>
                <w:sz w:val="20"/>
              </w:rPr>
              <w:t>CfC</w:t>
            </w:r>
          </w:p>
        </w:tc>
        <w:tc>
          <w:tcPr>
            <w:tcW w:type="dxa" w:w="2340"/>
          </w:tcPr>
          <w:p>
            <w:r/>
            <w:r>
              <w:rPr>
                <w:rFonts w:ascii="Times New Roman" w:hAnsi="Times New Roman"/>
                <w:sz w:val="20"/>
              </w:rPr>
              <w:t>0.0387</w:t>
            </w:r>
          </w:p>
        </w:tc>
        <w:tc>
          <w:tcPr>
            <w:tcW w:type="dxa" w:w="2340"/>
          </w:tcPr>
          <w:p>
            <w:r/>
            <w:r>
              <w:rPr>
                <w:rFonts w:ascii="Times New Roman" w:hAnsi="Times New Roman"/>
                <w:sz w:val="20"/>
              </w:rPr>
              <w:t>0.062</w:t>
            </w:r>
          </w:p>
        </w:tc>
        <w:tc>
          <w:tcPr>
            <w:tcW w:type="dxa" w:w="2340"/>
          </w:tcPr>
          <w:p>
            <w:r/>
            <w:r>
              <w:rPr>
                <w:rFonts w:ascii="Times New Roman" w:hAnsi="Times New Roman"/>
                <w:sz w:val="20"/>
              </w:rPr>
              <w:t>3665</w:t>
            </w:r>
          </w:p>
        </w:tc>
      </w:tr>
      <w:tr>
        <w:tc>
          <w:tcPr>
            <w:tcW w:type="dxa" w:w="2340"/>
          </w:tcPr>
          <w:p>
            <w:r/>
            <w:r>
              <w:rPr>
                <w:rFonts w:ascii="Times New Roman" w:hAnsi="Times New Roman"/>
                <w:sz w:val="20"/>
              </w:rPr>
              <w:t>CCT-LNN</w:t>
            </w:r>
          </w:p>
        </w:tc>
        <w:tc>
          <w:tcPr>
            <w:tcW w:type="dxa" w:w="2340"/>
          </w:tcPr>
          <w:p>
            <w:r/>
            <w:r>
              <w:rPr>
                <w:rFonts w:ascii="Times New Roman" w:hAnsi="Times New Roman"/>
                <w:sz w:val="20"/>
              </w:rPr>
              <w:t>0.0399</w:t>
            </w:r>
          </w:p>
        </w:tc>
        <w:tc>
          <w:tcPr>
            <w:tcW w:type="dxa" w:w="2340"/>
          </w:tcPr>
          <w:p>
            <w:r/>
            <w:r>
              <w:rPr>
                <w:rFonts w:ascii="Times New Roman" w:hAnsi="Times New Roman"/>
                <w:sz w:val="20"/>
              </w:rPr>
              <w:t>0.031</w:t>
            </w:r>
          </w:p>
        </w:tc>
        <w:tc>
          <w:tcPr>
            <w:tcW w:type="dxa" w:w="2340"/>
          </w:tcPr>
          <w:p>
            <w:r/>
            <w:r>
              <w:rPr>
                <w:rFonts w:ascii="Times New Roman" w:hAnsi="Times New Roman"/>
                <w:sz w:val="20"/>
              </w:rPr>
              <w:t>4257</w:t>
            </w:r>
          </w:p>
        </w:tc>
      </w:tr>
    </w:tbl>
    <w:p/>
    <w:p>
      <w:pPr>
        <w:spacing w:before="120" w:after="120"/>
      </w:pPr>
      <w:r>
        <w:rPr>
          <w:rFonts w:ascii="Times New Roman" w:hAnsi="Times New Roman"/>
          <w:b/>
          <w:sz w:val="24"/>
        </w:rPr>
        <w:t>5.2 Exp-2: Focal Weighted Regression</w:t>
      </w:r>
    </w:p>
    <w:p>
      <w:pPr>
        <w:spacing w:line="480" w:lineRule="auto"/>
        <w:jc w:val="left"/>
      </w:pPr>
      <w:r>
        <w:rPr>
          <w:rFonts w:ascii="Times New Roman" w:hAnsi="Times New Roman"/>
          <w:sz w:val="24"/>
        </w:rPr>
        <w:t>Table 4 presents focal weighted regression results. Using Focal MSE (gamma=2) to emphasize hard examples does not change the ranking of models, confirming that the limitation is not in the loss function but in the task formulation. Top-20% overlap (random baseline: 0.20) shows modest improvement for some models (CCT-LNN and Param. ExpDecay: 0.28), but all values remain close to chance.</w:t>
      </w:r>
    </w:p>
    <w:p>
      <w:pPr>
        <w:spacing w:line="480" w:lineRule="auto"/>
        <w:jc w:val="left"/>
      </w:pPr>
      <w:r>
        <w:rPr>
          <w:rFonts w:ascii="Times New Roman" w:hAnsi="Times New Roman"/>
          <w:sz w:val="24"/>
        </w:rPr>
        <w:t>Table 4: Exp-2 Focal Regression Results (PersonaChat, 5 seeds)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0"/>
              </w:rPr>
              <w:t>Model</w:t>
            </w:r>
          </w:p>
        </w:tc>
        <w:tc>
          <w:tcPr>
            <w:tcW w:type="dxa" w:w="2340"/>
          </w:tcPr>
          <w:p>
            <w:r/>
            <w:r>
              <w:rPr>
                <w:rFonts w:ascii="Times New Roman" w:hAnsi="Times New Roman"/>
                <w:b/>
                <w:sz w:val="20"/>
              </w:rPr>
              <w:t>MSE</w:t>
            </w:r>
          </w:p>
        </w:tc>
        <w:tc>
          <w:tcPr>
            <w:tcW w:type="dxa" w:w="2340"/>
          </w:tcPr>
          <w:p>
            <w:r/>
            <w:r>
              <w:rPr>
                <w:rFonts w:ascii="Times New Roman" w:hAnsi="Times New Roman"/>
                <w:b/>
                <w:sz w:val="20"/>
              </w:rPr>
              <w:t>Spearman rho</w:t>
            </w:r>
          </w:p>
        </w:tc>
        <w:tc>
          <w:tcPr>
            <w:tcW w:type="dxa" w:w="2340"/>
          </w:tcPr>
          <w:p>
            <w:r/>
            <w:r>
              <w:rPr>
                <w:rFonts w:ascii="Times New Roman" w:hAnsi="Times New Roman"/>
                <w:b/>
                <w:sz w:val="20"/>
              </w:rPr>
              <w:t>Top-20% Overlap</w:t>
            </w:r>
          </w:p>
        </w:tc>
      </w:tr>
      <w:tr>
        <w:tc>
          <w:tcPr>
            <w:tcW w:type="dxa" w:w="2340"/>
          </w:tcPr>
          <w:p>
            <w:r/>
            <w:r>
              <w:rPr>
                <w:rFonts w:ascii="Times New Roman" w:hAnsi="Times New Roman"/>
                <w:sz w:val="20"/>
              </w:rPr>
              <w:t>GRU+Time</w:t>
            </w:r>
          </w:p>
        </w:tc>
        <w:tc>
          <w:tcPr>
            <w:tcW w:type="dxa" w:w="2340"/>
          </w:tcPr>
          <w:p>
            <w:r/>
            <w:r>
              <w:rPr>
                <w:rFonts w:ascii="Times New Roman" w:hAnsi="Times New Roman"/>
                <w:sz w:val="20"/>
              </w:rPr>
              <w:t>0.0366</w:t>
            </w:r>
          </w:p>
        </w:tc>
        <w:tc>
          <w:tcPr>
            <w:tcW w:type="dxa" w:w="2340"/>
          </w:tcPr>
          <w:p>
            <w:r/>
            <w:r>
              <w:rPr>
                <w:rFonts w:ascii="Times New Roman" w:hAnsi="Times New Roman"/>
                <w:sz w:val="20"/>
              </w:rPr>
              <w:t>0.091</w:t>
            </w:r>
          </w:p>
        </w:tc>
        <w:tc>
          <w:tcPr>
            <w:tcW w:type="dxa" w:w="2340"/>
          </w:tcPr>
          <w:p>
            <w:r/>
            <w:r>
              <w:rPr>
                <w:rFonts w:ascii="Times New Roman" w:hAnsi="Times New Roman"/>
                <w:sz w:val="20"/>
              </w:rPr>
              <w:t>0.23</w:t>
            </w:r>
          </w:p>
        </w:tc>
      </w:tr>
      <w:tr>
        <w:tc>
          <w:tcPr>
            <w:tcW w:type="dxa" w:w="2340"/>
          </w:tcPr>
          <w:p>
            <w:r/>
            <w:r>
              <w:rPr>
                <w:rFonts w:ascii="Times New Roman" w:hAnsi="Times New Roman"/>
                <w:sz w:val="20"/>
              </w:rPr>
              <w:t>Neural ODE</w:t>
            </w:r>
          </w:p>
        </w:tc>
        <w:tc>
          <w:tcPr>
            <w:tcW w:type="dxa" w:w="2340"/>
          </w:tcPr>
          <w:p>
            <w:r/>
            <w:r>
              <w:rPr>
                <w:rFonts w:ascii="Times New Roman" w:hAnsi="Times New Roman"/>
                <w:sz w:val="20"/>
              </w:rPr>
              <w:t>0.0369</w:t>
            </w:r>
          </w:p>
        </w:tc>
        <w:tc>
          <w:tcPr>
            <w:tcW w:type="dxa" w:w="2340"/>
          </w:tcPr>
          <w:p>
            <w:r/>
            <w:r>
              <w:rPr>
                <w:rFonts w:ascii="Times New Roman" w:hAnsi="Times New Roman"/>
                <w:sz w:val="20"/>
              </w:rPr>
              <w:t>-0.031</w:t>
            </w:r>
          </w:p>
        </w:tc>
        <w:tc>
          <w:tcPr>
            <w:tcW w:type="dxa" w:w="2340"/>
          </w:tcPr>
          <w:p>
            <w:r/>
            <w:r>
              <w:rPr>
                <w:rFonts w:ascii="Times New Roman" w:hAnsi="Times New Roman"/>
                <w:sz w:val="20"/>
              </w:rPr>
              <w:t>0.18</w:t>
            </w:r>
          </w:p>
        </w:tc>
      </w:tr>
      <w:tr>
        <w:tc>
          <w:tcPr>
            <w:tcW w:type="dxa" w:w="2340"/>
          </w:tcPr>
          <w:p>
            <w:r/>
            <w:r>
              <w:rPr>
                <w:rFonts w:ascii="Times New Roman" w:hAnsi="Times New Roman"/>
                <w:sz w:val="20"/>
              </w:rPr>
              <w:t>GRU</w:t>
            </w:r>
          </w:p>
        </w:tc>
        <w:tc>
          <w:tcPr>
            <w:tcW w:type="dxa" w:w="2340"/>
          </w:tcPr>
          <w:p>
            <w:r/>
            <w:r>
              <w:rPr>
                <w:rFonts w:ascii="Times New Roman" w:hAnsi="Times New Roman"/>
                <w:sz w:val="20"/>
              </w:rPr>
              <w:t>0.0371</w:t>
            </w:r>
          </w:p>
        </w:tc>
        <w:tc>
          <w:tcPr>
            <w:tcW w:type="dxa" w:w="2340"/>
          </w:tcPr>
          <w:p>
            <w:r/>
            <w:r>
              <w:rPr>
                <w:rFonts w:ascii="Times New Roman" w:hAnsi="Times New Roman"/>
                <w:sz w:val="20"/>
              </w:rPr>
              <w:t>0.090</w:t>
            </w:r>
          </w:p>
        </w:tc>
        <w:tc>
          <w:tcPr>
            <w:tcW w:type="dxa" w:w="2340"/>
          </w:tcPr>
          <w:p>
            <w:r/>
            <w:r>
              <w:rPr>
                <w:rFonts w:ascii="Times New Roman" w:hAnsi="Times New Roman"/>
                <w:sz w:val="20"/>
              </w:rPr>
              <w:t>0.24</w:t>
            </w:r>
          </w:p>
        </w:tc>
      </w:tr>
      <w:tr>
        <w:tc>
          <w:tcPr>
            <w:tcW w:type="dxa" w:w="2340"/>
          </w:tcPr>
          <w:p>
            <w:r/>
            <w:r>
              <w:rPr>
                <w:rFonts w:ascii="Times New Roman" w:hAnsi="Times New Roman"/>
                <w:sz w:val="20"/>
              </w:rPr>
              <w:t>Param. ExpDecay</w:t>
            </w:r>
          </w:p>
        </w:tc>
        <w:tc>
          <w:tcPr>
            <w:tcW w:type="dxa" w:w="2340"/>
          </w:tcPr>
          <w:p>
            <w:r/>
            <w:r>
              <w:rPr>
                <w:rFonts w:ascii="Times New Roman" w:hAnsi="Times New Roman"/>
                <w:sz w:val="20"/>
              </w:rPr>
              <w:t>0.0386</w:t>
            </w:r>
          </w:p>
        </w:tc>
        <w:tc>
          <w:tcPr>
            <w:tcW w:type="dxa" w:w="2340"/>
          </w:tcPr>
          <w:p>
            <w:r/>
            <w:r>
              <w:rPr>
                <w:rFonts w:ascii="Times New Roman" w:hAnsi="Times New Roman"/>
                <w:sz w:val="20"/>
              </w:rPr>
              <w:t>0.112</w:t>
            </w:r>
          </w:p>
        </w:tc>
        <w:tc>
          <w:tcPr>
            <w:tcW w:type="dxa" w:w="2340"/>
          </w:tcPr>
          <w:p>
            <w:r/>
            <w:r>
              <w:rPr>
                <w:rFonts w:ascii="Times New Roman" w:hAnsi="Times New Roman"/>
                <w:sz w:val="20"/>
              </w:rPr>
              <w:t>0.28</w:t>
            </w:r>
          </w:p>
        </w:tc>
      </w:tr>
      <w:tr>
        <w:tc>
          <w:tcPr>
            <w:tcW w:type="dxa" w:w="2340"/>
          </w:tcPr>
          <w:p>
            <w:r/>
            <w:r>
              <w:rPr>
                <w:rFonts w:ascii="Times New Roman" w:hAnsi="Times New Roman"/>
                <w:sz w:val="20"/>
              </w:rPr>
              <w:t>CCT-LNN</w:t>
            </w:r>
          </w:p>
        </w:tc>
        <w:tc>
          <w:tcPr>
            <w:tcW w:type="dxa" w:w="2340"/>
          </w:tcPr>
          <w:p>
            <w:r/>
            <w:r>
              <w:rPr>
                <w:rFonts w:ascii="Times New Roman" w:hAnsi="Times New Roman"/>
                <w:sz w:val="20"/>
              </w:rPr>
              <w:t>0.0399</w:t>
            </w:r>
          </w:p>
        </w:tc>
        <w:tc>
          <w:tcPr>
            <w:tcW w:type="dxa" w:w="2340"/>
          </w:tcPr>
          <w:p>
            <w:r/>
            <w:r>
              <w:rPr>
                <w:rFonts w:ascii="Times New Roman" w:hAnsi="Times New Roman"/>
                <w:sz w:val="20"/>
              </w:rPr>
              <w:t>0.031</w:t>
            </w:r>
          </w:p>
        </w:tc>
        <w:tc>
          <w:tcPr>
            <w:tcW w:type="dxa" w:w="2340"/>
          </w:tcPr>
          <w:p>
            <w:r/>
            <w:r>
              <w:rPr>
                <w:rFonts w:ascii="Times New Roman" w:hAnsi="Times New Roman"/>
                <w:sz w:val="20"/>
              </w:rPr>
              <w:t>0.28</w:t>
            </w:r>
          </w:p>
        </w:tc>
      </w:tr>
    </w:tbl>
    <w:p/>
    <w:p>
      <w:pPr>
        <w:spacing w:before="120" w:after="120"/>
      </w:pPr>
      <w:r>
        <w:rPr>
          <w:rFonts w:ascii="Times New Roman" w:hAnsi="Times New Roman"/>
          <w:b/>
          <w:sz w:val="24"/>
        </w:rPr>
        <w:t>5.3 Exp-3: Per-Timestep Ranking Quality</w:t>
      </w:r>
    </w:p>
    <w:p>
      <w:pPr>
        <w:spacing w:line="480" w:lineRule="auto"/>
        <w:jc w:val="left"/>
      </w:pPr>
      <w:r>
        <w:rPr>
          <w:rFonts w:ascii="Times New Roman" w:hAnsi="Times New Roman"/>
          <w:sz w:val="24"/>
        </w:rPr>
        <w:t>Table 5 presents ranking quality results. This is the most informative evaluation: models are trained with per-timestep MSE on relevance and evaluated on their ability to rank memories within a query window. NDCG@5 measures ranking quality at the top-5 positions; the random baseline is 0.500.</w:t>
      </w:r>
    </w:p>
    <w:p>
      <w:pPr>
        <w:spacing w:line="480" w:lineRule="auto"/>
        <w:jc w:val="left"/>
      </w:pPr>
      <w:r>
        <w:rPr>
          <w:rFonts w:ascii="Times New Roman" w:hAnsi="Times New Roman"/>
          <w:sz w:val="24"/>
        </w:rPr>
        <w:t>Table 5: Exp-3 Ranking Quality (PersonaChat, 3 seeds)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b/>
                <w:sz w:val="20"/>
              </w:rPr>
              <w:t>Model</w:t>
            </w:r>
          </w:p>
        </w:tc>
        <w:tc>
          <w:tcPr>
            <w:tcW w:type="dxa" w:w="1872"/>
          </w:tcPr>
          <w:p>
            <w:r/>
            <w:r>
              <w:rPr>
                <w:rFonts w:ascii="Times New Roman" w:hAnsi="Times New Roman"/>
                <w:b/>
                <w:sz w:val="20"/>
              </w:rPr>
              <w:t>NDCG@5</w:t>
            </w:r>
          </w:p>
        </w:tc>
        <w:tc>
          <w:tcPr>
            <w:tcW w:type="dxa" w:w="1872"/>
          </w:tcPr>
          <w:p>
            <w:r/>
            <w:r>
              <w:rPr>
                <w:rFonts w:ascii="Times New Roman" w:hAnsi="Times New Roman"/>
                <w:b/>
                <w:sz w:val="20"/>
              </w:rPr>
              <w:t>NDCG5 SD</w:t>
            </w:r>
          </w:p>
        </w:tc>
        <w:tc>
          <w:tcPr>
            <w:tcW w:type="dxa" w:w="1872"/>
          </w:tcPr>
          <w:p>
            <w:r/>
            <w:r>
              <w:rPr>
                <w:rFonts w:ascii="Times New Roman" w:hAnsi="Times New Roman"/>
                <w:b/>
                <w:sz w:val="20"/>
              </w:rPr>
              <w:t>MRR</w:t>
            </w:r>
          </w:p>
        </w:tc>
        <w:tc>
          <w:tcPr>
            <w:tcW w:type="dxa" w:w="1872"/>
          </w:tcPr>
          <w:p>
            <w:r/>
            <w:r>
              <w:rPr>
                <w:rFonts w:ascii="Times New Roman" w:hAnsi="Times New Roman"/>
                <w:b/>
                <w:sz w:val="20"/>
              </w:rPr>
              <w:t>Kendall tau</w:t>
            </w:r>
          </w:p>
        </w:tc>
      </w:tr>
      <w:tr>
        <w:tc>
          <w:tcPr>
            <w:tcW w:type="dxa" w:w="1872"/>
          </w:tcPr>
          <w:p>
            <w:r/>
            <w:r>
              <w:rPr>
                <w:rFonts w:ascii="Times New Roman" w:hAnsi="Times New Roman"/>
                <w:sz w:val="20"/>
              </w:rPr>
              <w:t>Neural ODE</w:t>
            </w:r>
          </w:p>
        </w:tc>
        <w:tc>
          <w:tcPr>
            <w:tcW w:type="dxa" w:w="1872"/>
          </w:tcPr>
          <w:p>
            <w:r/>
            <w:r>
              <w:rPr>
                <w:rFonts w:ascii="Times New Roman" w:hAnsi="Times New Roman"/>
                <w:sz w:val="20"/>
              </w:rPr>
              <w:t>0.616</w:t>
            </w:r>
          </w:p>
        </w:tc>
        <w:tc>
          <w:tcPr>
            <w:tcW w:type="dxa" w:w="1872"/>
          </w:tcPr>
          <w:p>
            <w:r/>
            <w:r>
              <w:rPr>
                <w:rFonts w:ascii="Times New Roman" w:hAnsi="Times New Roman"/>
                <w:sz w:val="20"/>
              </w:rPr>
              <w:t>0.009</w:t>
            </w:r>
          </w:p>
        </w:tc>
        <w:tc>
          <w:tcPr>
            <w:tcW w:type="dxa" w:w="1872"/>
          </w:tcPr>
          <w:p>
            <w:r/>
            <w:r>
              <w:rPr>
                <w:rFonts w:ascii="Times New Roman" w:hAnsi="Times New Roman"/>
                <w:sz w:val="20"/>
              </w:rPr>
              <w:t>0.553</w:t>
            </w:r>
          </w:p>
        </w:tc>
        <w:tc>
          <w:tcPr>
            <w:tcW w:type="dxa" w:w="1872"/>
          </w:tcPr>
          <w:p>
            <w:r/>
            <w:r>
              <w:rPr>
                <w:rFonts w:ascii="Times New Roman" w:hAnsi="Times New Roman"/>
                <w:sz w:val="20"/>
              </w:rPr>
              <w:t>0.195</w:t>
            </w:r>
          </w:p>
        </w:tc>
      </w:tr>
      <w:tr>
        <w:tc>
          <w:tcPr>
            <w:tcW w:type="dxa" w:w="1872"/>
          </w:tcPr>
          <w:p>
            <w:r/>
            <w:r>
              <w:rPr>
                <w:rFonts w:ascii="Times New Roman" w:hAnsi="Times New Roman"/>
                <w:sz w:val="20"/>
              </w:rPr>
              <w:t>GRU</w:t>
            </w:r>
          </w:p>
        </w:tc>
        <w:tc>
          <w:tcPr>
            <w:tcW w:type="dxa" w:w="1872"/>
          </w:tcPr>
          <w:p>
            <w:r/>
            <w:r>
              <w:rPr>
                <w:rFonts w:ascii="Times New Roman" w:hAnsi="Times New Roman"/>
                <w:sz w:val="20"/>
              </w:rPr>
              <w:t>0.604</w:t>
            </w:r>
          </w:p>
        </w:tc>
        <w:tc>
          <w:tcPr>
            <w:tcW w:type="dxa" w:w="1872"/>
          </w:tcPr>
          <w:p>
            <w:r/>
            <w:r>
              <w:rPr>
                <w:rFonts w:ascii="Times New Roman" w:hAnsi="Times New Roman"/>
                <w:sz w:val="20"/>
              </w:rPr>
              <w:t>0.013</w:t>
            </w:r>
          </w:p>
        </w:tc>
        <w:tc>
          <w:tcPr>
            <w:tcW w:type="dxa" w:w="1872"/>
          </w:tcPr>
          <w:p>
            <w:r/>
            <w:r>
              <w:rPr>
                <w:rFonts w:ascii="Times New Roman" w:hAnsi="Times New Roman"/>
                <w:sz w:val="20"/>
              </w:rPr>
              <w:t>0.543</w:t>
            </w:r>
          </w:p>
        </w:tc>
        <w:tc>
          <w:tcPr>
            <w:tcW w:type="dxa" w:w="1872"/>
          </w:tcPr>
          <w:p>
            <w:r/>
            <w:r>
              <w:rPr>
                <w:rFonts w:ascii="Times New Roman" w:hAnsi="Times New Roman"/>
                <w:sz w:val="20"/>
              </w:rPr>
              <w:t>0.184</w:t>
            </w:r>
          </w:p>
        </w:tc>
      </w:tr>
      <w:tr>
        <w:tc>
          <w:tcPr>
            <w:tcW w:type="dxa" w:w="1872"/>
          </w:tcPr>
          <w:p>
            <w:r/>
            <w:r>
              <w:rPr>
                <w:rFonts w:ascii="Times New Roman" w:hAnsi="Times New Roman"/>
                <w:sz w:val="20"/>
              </w:rPr>
              <w:t>GRU+Time</w:t>
            </w:r>
          </w:p>
        </w:tc>
        <w:tc>
          <w:tcPr>
            <w:tcW w:type="dxa" w:w="1872"/>
          </w:tcPr>
          <w:p>
            <w:r/>
            <w:r>
              <w:rPr>
                <w:rFonts w:ascii="Times New Roman" w:hAnsi="Times New Roman"/>
                <w:sz w:val="20"/>
              </w:rPr>
              <w:t>0.603</w:t>
            </w:r>
          </w:p>
        </w:tc>
        <w:tc>
          <w:tcPr>
            <w:tcW w:type="dxa" w:w="1872"/>
          </w:tcPr>
          <w:p>
            <w:r/>
            <w:r>
              <w:rPr>
                <w:rFonts w:ascii="Times New Roman" w:hAnsi="Times New Roman"/>
                <w:sz w:val="20"/>
              </w:rPr>
              <w:t>0.003</w:t>
            </w:r>
          </w:p>
        </w:tc>
        <w:tc>
          <w:tcPr>
            <w:tcW w:type="dxa" w:w="1872"/>
          </w:tcPr>
          <w:p>
            <w:r/>
            <w:r>
              <w:rPr>
                <w:rFonts w:ascii="Times New Roman" w:hAnsi="Times New Roman"/>
                <w:sz w:val="20"/>
              </w:rPr>
              <w:t>0.559</w:t>
            </w:r>
          </w:p>
        </w:tc>
        <w:tc>
          <w:tcPr>
            <w:tcW w:type="dxa" w:w="1872"/>
          </w:tcPr>
          <w:p>
            <w:r/>
            <w:r>
              <w:rPr>
                <w:rFonts w:ascii="Times New Roman" w:hAnsi="Times New Roman"/>
                <w:sz w:val="20"/>
              </w:rPr>
              <w:t>0.196</w:t>
            </w:r>
          </w:p>
        </w:tc>
      </w:tr>
      <w:tr>
        <w:tc>
          <w:tcPr>
            <w:tcW w:type="dxa" w:w="1872"/>
          </w:tcPr>
          <w:p>
            <w:r/>
            <w:r>
              <w:rPr>
                <w:rFonts w:ascii="Times New Roman" w:hAnsi="Times New Roman"/>
                <w:sz w:val="20"/>
              </w:rPr>
              <w:t>CfC</w:t>
            </w:r>
          </w:p>
        </w:tc>
        <w:tc>
          <w:tcPr>
            <w:tcW w:type="dxa" w:w="1872"/>
          </w:tcPr>
          <w:p>
            <w:r/>
            <w:r>
              <w:rPr>
                <w:rFonts w:ascii="Times New Roman" w:hAnsi="Times New Roman"/>
                <w:sz w:val="20"/>
              </w:rPr>
              <w:t>0.586</w:t>
            </w:r>
          </w:p>
        </w:tc>
        <w:tc>
          <w:tcPr>
            <w:tcW w:type="dxa" w:w="1872"/>
          </w:tcPr>
          <w:p>
            <w:r/>
            <w:r>
              <w:rPr>
                <w:rFonts w:ascii="Times New Roman" w:hAnsi="Times New Roman"/>
                <w:sz w:val="20"/>
              </w:rPr>
              <w:t>0.027</w:t>
            </w:r>
          </w:p>
        </w:tc>
        <w:tc>
          <w:tcPr>
            <w:tcW w:type="dxa" w:w="1872"/>
          </w:tcPr>
          <w:p>
            <w:r/>
            <w:r>
              <w:rPr>
                <w:rFonts w:ascii="Times New Roman" w:hAnsi="Times New Roman"/>
                <w:sz w:val="20"/>
              </w:rPr>
              <w:t>0.509</w:t>
            </w:r>
          </w:p>
        </w:tc>
        <w:tc>
          <w:tcPr>
            <w:tcW w:type="dxa" w:w="1872"/>
          </w:tcPr>
          <w:p>
            <w:r/>
            <w:r>
              <w:rPr>
                <w:rFonts w:ascii="Times New Roman" w:hAnsi="Times New Roman"/>
                <w:sz w:val="20"/>
              </w:rPr>
              <w:t>0.125</w:t>
            </w:r>
          </w:p>
        </w:tc>
      </w:tr>
      <w:tr>
        <w:tc>
          <w:tcPr>
            <w:tcW w:type="dxa" w:w="1872"/>
          </w:tcPr>
          <w:p>
            <w:r/>
            <w:r>
              <w:rPr>
                <w:rFonts w:ascii="Times New Roman" w:hAnsi="Times New Roman"/>
                <w:sz w:val="20"/>
              </w:rPr>
              <w:t>LTC</w:t>
            </w:r>
          </w:p>
        </w:tc>
        <w:tc>
          <w:tcPr>
            <w:tcW w:type="dxa" w:w="1872"/>
          </w:tcPr>
          <w:p>
            <w:r/>
            <w:r>
              <w:rPr>
                <w:rFonts w:ascii="Times New Roman" w:hAnsi="Times New Roman"/>
                <w:sz w:val="20"/>
              </w:rPr>
              <w:t>0.585</w:t>
            </w:r>
          </w:p>
        </w:tc>
        <w:tc>
          <w:tcPr>
            <w:tcW w:type="dxa" w:w="1872"/>
          </w:tcPr>
          <w:p>
            <w:r/>
            <w:r>
              <w:rPr>
                <w:rFonts w:ascii="Times New Roman" w:hAnsi="Times New Roman"/>
                <w:sz w:val="20"/>
              </w:rPr>
              <w:t>0.024</w:t>
            </w:r>
          </w:p>
        </w:tc>
        <w:tc>
          <w:tcPr>
            <w:tcW w:type="dxa" w:w="1872"/>
          </w:tcPr>
          <w:p>
            <w:r/>
            <w:r>
              <w:rPr>
                <w:rFonts w:ascii="Times New Roman" w:hAnsi="Times New Roman"/>
                <w:sz w:val="20"/>
              </w:rPr>
              <w:t>0.415</w:t>
            </w:r>
          </w:p>
        </w:tc>
        <w:tc>
          <w:tcPr>
            <w:tcW w:type="dxa" w:w="1872"/>
          </w:tcPr>
          <w:p>
            <w:r/>
            <w:r>
              <w:rPr>
                <w:rFonts w:ascii="Times New Roman" w:hAnsi="Times New Roman"/>
                <w:sz w:val="20"/>
              </w:rPr>
              <w:t>0.083</w:t>
            </w:r>
          </w:p>
        </w:tc>
      </w:tr>
      <w:tr>
        <w:tc>
          <w:tcPr>
            <w:tcW w:type="dxa" w:w="1872"/>
          </w:tcPr>
          <w:p>
            <w:r/>
            <w:r>
              <w:rPr>
                <w:rFonts w:ascii="Times New Roman" w:hAnsi="Times New Roman"/>
                <w:sz w:val="20"/>
              </w:rPr>
              <w:t>Transformer</w:t>
            </w:r>
          </w:p>
        </w:tc>
        <w:tc>
          <w:tcPr>
            <w:tcW w:type="dxa" w:w="1872"/>
          </w:tcPr>
          <w:p>
            <w:r/>
            <w:r>
              <w:rPr>
                <w:rFonts w:ascii="Times New Roman" w:hAnsi="Times New Roman"/>
                <w:sz w:val="20"/>
              </w:rPr>
              <w:t>0.546</w:t>
            </w:r>
          </w:p>
        </w:tc>
        <w:tc>
          <w:tcPr>
            <w:tcW w:type="dxa" w:w="1872"/>
          </w:tcPr>
          <w:p>
            <w:r/>
            <w:r>
              <w:rPr>
                <w:rFonts w:ascii="Times New Roman" w:hAnsi="Times New Roman"/>
                <w:sz w:val="20"/>
              </w:rPr>
              <w:t>0.021</w:t>
            </w:r>
          </w:p>
        </w:tc>
        <w:tc>
          <w:tcPr>
            <w:tcW w:type="dxa" w:w="1872"/>
          </w:tcPr>
          <w:p>
            <w:r/>
            <w:r>
              <w:rPr>
                <w:rFonts w:ascii="Times New Roman" w:hAnsi="Times New Roman"/>
                <w:sz w:val="20"/>
              </w:rPr>
              <w:t>0.352</w:t>
            </w:r>
          </w:p>
        </w:tc>
        <w:tc>
          <w:tcPr>
            <w:tcW w:type="dxa" w:w="1872"/>
          </w:tcPr>
          <w:p>
            <w:r/>
            <w:r>
              <w:rPr>
                <w:rFonts w:ascii="Times New Roman" w:hAnsi="Times New Roman"/>
                <w:sz w:val="20"/>
              </w:rPr>
              <w:t>-0.016</w:t>
            </w:r>
          </w:p>
        </w:tc>
      </w:tr>
      <w:tr>
        <w:tc>
          <w:tcPr>
            <w:tcW w:type="dxa" w:w="1872"/>
          </w:tcPr>
          <w:p>
            <w:r/>
            <w:r>
              <w:rPr>
                <w:rFonts w:ascii="Times New Roman" w:hAnsi="Times New Roman"/>
                <w:sz w:val="20"/>
              </w:rPr>
              <w:t>CCT-LNN</w:t>
            </w:r>
          </w:p>
        </w:tc>
        <w:tc>
          <w:tcPr>
            <w:tcW w:type="dxa" w:w="1872"/>
          </w:tcPr>
          <w:p>
            <w:r/>
            <w:r>
              <w:rPr>
                <w:rFonts w:ascii="Times New Roman" w:hAnsi="Times New Roman"/>
                <w:sz w:val="20"/>
              </w:rPr>
              <w:t>0.536</w:t>
            </w:r>
          </w:p>
        </w:tc>
        <w:tc>
          <w:tcPr>
            <w:tcW w:type="dxa" w:w="1872"/>
          </w:tcPr>
          <w:p>
            <w:r/>
            <w:r>
              <w:rPr>
                <w:rFonts w:ascii="Times New Roman" w:hAnsi="Times New Roman"/>
                <w:sz w:val="20"/>
              </w:rPr>
              <w:t>0.011</w:t>
            </w:r>
          </w:p>
        </w:tc>
        <w:tc>
          <w:tcPr>
            <w:tcW w:type="dxa" w:w="1872"/>
          </w:tcPr>
          <w:p>
            <w:r/>
            <w:r>
              <w:rPr>
                <w:rFonts w:ascii="Times New Roman" w:hAnsi="Times New Roman"/>
                <w:sz w:val="20"/>
              </w:rPr>
              <w:t>0.355</w:t>
            </w:r>
          </w:p>
        </w:tc>
        <w:tc>
          <w:tcPr>
            <w:tcW w:type="dxa" w:w="1872"/>
          </w:tcPr>
          <w:p>
            <w:r/>
            <w:r>
              <w:rPr>
                <w:rFonts w:ascii="Times New Roman" w:hAnsi="Times New Roman"/>
                <w:sz w:val="20"/>
              </w:rPr>
              <w:t>0.002</w:t>
            </w:r>
          </w:p>
        </w:tc>
      </w:tr>
      <w:tr>
        <w:tc>
          <w:tcPr>
            <w:tcW w:type="dxa" w:w="1872"/>
          </w:tcPr>
          <w:p>
            <w:r/>
            <w:r>
              <w:rPr>
                <w:rFonts w:ascii="Times New Roman" w:hAnsi="Times New Roman"/>
                <w:sz w:val="20"/>
              </w:rPr>
              <w:t>Param. ExpDecay</w:t>
            </w:r>
          </w:p>
        </w:tc>
        <w:tc>
          <w:tcPr>
            <w:tcW w:type="dxa" w:w="1872"/>
          </w:tcPr>
          <w:p>
            <w:r/>
            <w:r>
              <w:rPr>
                <w:rFonts w:ascii="Times New Roman" w:hAnsi="Times New Roman"/>
                <w:sz w:val="20"/>
              </w:rPr>
              <w:t>0.533</w:t>
            </w:r>
          </w:p>
        </w:tc>
        <w:tc>
          <w:tcPr>
            <w:tcW w:type="dxa" w:w="1872"/>
          </w:tcPr>
          <w:p>
            <w:r/>
            <w:r>
              <w:rPr>
                <w:rFonts w:ascii="Times New Roman" w:hAnsi="Times New Roman"/>
                <w:sz w:val="20"/>
              </w:rPr>
              <w:t>0.006</w:t>
            </w:r>
          </w:p>
        </w:tc>
        <w:tc>
          <w:tcPr>
            <w:tcW w:type="dxa" w:w="1872"/>
          </w:tcPr>
          <w:p>
            <w:r/>
            <w:r>
              <w:rPr>
                <w:rFonts w:ascii="Times New Roman" w:hAnsi="Times New Roman"/>
                <w:sz w:val="20"/>
              </w:rPr>
              <w:t>0.324</w:t>
            </w:r>
          </w:p>
        </w:tc>
        <w:tc>
          <w:tcPr>
            <w:tcW w:type="dxa" w:w="1872"/>
          </w:tcPr>
          <w:p>
            <w:r/>
            <w:r>
              <w:rPr>
                <w:rFonts w:ascii="Times New Roman" w:hAnsi="Times New Roman"/>
                <w:sz w:val="20"/>
              </w:rPr>
              <w:t>-0.048</w:t>
            </w:r>
          </w:p>
        </w:tc>
      </w:tr>
    </w:tbl>
    <w:p/>
    <w:p>
      <w:pPr>
        <w:spacing w:line="480" w:lineRule="auto"/>
        <w:jc w:val="left"/>
      </w:pPr>
      <w:r>
        <w:rPr>
          <w:rFonts w:ascii="Times New Roman" w:hAnsi="Times New Roman"/>
          <w:sz w:val="24"/>
        </w:rPr>
        <w:t>Key findings: (1) Neural ODE achieves the best NDCG@5 (0.616), confirming that continuous-time dynamics improve ranking quality. (2) GRU and GRU+Time perform comparably (0.604 and 0.603), suggesting that explicit time encoding matters less for ranking than for regression. (3) CCT-LNN (0.536) and Parametric ExpDecay (0.533) perform near the random baseline (0.500), indicating that category conditioning and parametric decay do not improve ranking. (4) The ranking evaluation successfully differentiates models that regression MSE cannot.</w:t>
      </w:r>
    </w:p>
    <w:p>
      <w:pPr>
        <w:spacing w:before="120" w:after="120"/>
      </w:pPr>
      <w:r>
        <w:rPr>
          <w:rFonts w:ascii="Times New Roman" w:hAnsi="Times New Roman"/>
          <w:b/>
          <w:sz w:val="24"/>
        </w:rPr>
        <w:t>5.4 Tau Analysis</w:t>
      </w:r>
    </w:p>
    <w:p>
      <w:pPr>
        <w:spacing w:line="480" w:lineRule="auto"/>
        <w:jc w:val="left"/>
      </w:pPr>
      <w:r>
        <w:rPr>
          <w:rFonts w:ascii="Times New Roman" w:hAnsi="Times New Roman"/>
          <w:sz w:val="24"/>
        </w:rPr>
        <w:t>Table 6 presents learned tau values across categories. On PersonaChat (8 categories), tau ranges from 4.86 to 5.20 with no significant correlation with category frequency (r=-0.37, p=0.64). TOST equivalence test fails (90% CI does not fall within [-0.3, 0.3]), meaning we cannot claim tau is equivalent across categories, but we also cannot claim meaningful differentiation.</w:t>
      </w:r>
    </w:p>
    <w:p>
      <w:pPr>
        <w:spacing w:line="480" w:lineRule="auto"/>
        <w:jc w:val="left"/>
      </w:pPr>
      <w:r>
        <w:rPr>
          <w:rFonts w:ascii="Times New Roman" w:hAnsi="Times New Roman"/>
          <w:sz w:val="24"/>
        </w:rPr>
        <w:t>Table 6: Learned Tau by Category (PersonaChat)</w:t>
      </w:r>
    </w:p>
    <w:p>
      <w:pPr>
        <w:spacing w:line="480" w:lineRule="auto"/>
        <w:jc w:val="left"/>
      </w:pPr>
      <w:r>
        <w:rPr>
          <w:rFonts w:ascii="Times New Roman" w:hAnsi="Times New Roman"/>
          <w:sz w:val="24"/>
        </w:rPr>
        <w:t>The hypothesis that tau encodes category-specific decay rates is not supported across 8 categories.</w:t>
      </w:r>
    </w:p>
    <w:p>
      <w:pPr>
        <w:spacing w:before="240" w:after="120"/>
      </w:pPr>
      <w:r>
        <w:rPr>
          <w:rFonts w:ascii="Times New Roman" w:hAnsi="Times New Roman"/>
          <w:b/>
          <w:sz w:val="28"/>
        </w:rPr>
        <w:t>6. Production Deployment on Kylin V10</w:t>
      </w:r>
    </w:p>
    <w:p>
      <w:pPr>
        <w:spacing w:before="120" w:after="120"/>
      </w:pPr>
      <w:r>
        <w:rPr>
          <w:rFonts w:ascii="Times New Roman" w:hAnsi="Times New Roman"/>
          <w:b/>
          <w:sz w:val="24"/>
        </w:rPr>
        <w:t>6.1 System Architecture</w:t>
      </w:r>
    </w:p>
    <w:p>
      <w:pPr>
        <w:spacing w:line="480" w:lineRule="auto"/>
        <w:jc w:val="left"/>
      </w:pPr>
      <w:r>
        <w:rPr>
          <w:rFonts w:ascii="Times New Roman" w:hAnsi="Times New Roman"/>
          <w:sz w:val="24"/>
        </w:rPr>
        <w:t>We deploy the LTC gate within a production OS agent on Kylin Linux Advanced Server V10 (Alibaba Cloud ECS). The system comprises 11 modules: ZeroLLMPipeline, KnowledgeEngine, MemoryManager, HybridSearchEngine, SensitiveFilter, ForgettingCurveEngine, OfflineMemoryEngine, RuleReranker, CascadeWorker, DataCleaningPipeline, and MarkdownTruthStore.</w:t>
      </w:r>
    </w:p>
    <w:p>
      <w:pPr>
        <w:spacing w:line="480" w:lineRule="auto"/>
        <w:jc w:val="left"/>
      </w:pPr>
      <w:r>
        <w:rPr>
          <w:rFonts w:ascii="Times New Roman" w:hAnsi="Times New Roman"/>
          <w:sz w:val="24"/>
        </w:rPr>
        <w:t>The LTC gate (3,665 parameters) replaces a rule-based threshold gate in the memory retrieval pipeline. This is a gate-level contribution: the LTC model does not replace the full memory stack, but augments a single decision point within it.</w:t>
      </w:r>
    </w:p>
    <w:p>
      <w:pPr>
        <w:spacing w:before="120" w:after="120"/>
      </w:pPr>
      <w:r>
        <w:rPr>
          <w:rFonts w:ascii="Times New Roman" w:hAnsi="Times New Roman"/>
          <w:b/>
          <w:sz w:val="24"/>
        </w:rPr>
        <w:t>6.2 Competition Benchmarks</w:t>
      </w:r>
    </w:p>
    <w:p>
      <w:pPr>
        <w:spacing w:line="480" w:lineRule="auto"/>
        <w:jc w:val="left"/>
      </w:pPr>
      <w:r>
        <w:rPr>
          <w:rFonts w:ascii="Times New Roman" w:hAnsi="Times New Roman"/>
          <w:sz w:val="24"/>
        </w:rPr>
        <w:t>Table 7 presents the four competition metrics on Kylin V10. All four exceed their thresholds.</w:t>
      </w:r>
    </w:p>
    <w:p>
      <w:pPr>
        <w:spacing w:line="480" w:lineRule="auto"/>
        <w:jc w:val="left"/>
      </w:pPr>
      <w:r>
        <w:rPr>
          <w:rFonts w:ascii="Times New Roman" w:hAnsi="Times New Roman"/>
          <w:sz w:val="24"/>
        </w:rPr>
        <w:t>Table 7: Competition Benchmark Results (Kylin V10)</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0"/>
              </w:rPr>
              <w:t>Metric</w:t>
            </w:r>
          </w:p>
        </w:tc>
        <w:tc>
          <w:tcPr>
            <w:tcW w:type="dxa" w:w="2340"/>
          </w:tcPr>
          <w:p>
            <w:r/>
            <w:r>
              <w:rPr>
                <w:rFonts w:ascii="Times New Roman" w:hAnsi="Times New Roman"/>
                <w:b/>
                <w:sz w:val="20"/>
              </w:rPr>
              <w:t>Threshold</w:t>
            </w:r>
          </w:p>
        </w:tc>
        <w:tc>
          <w:tcPr>
            <w:tcW w:type="dxa" w:w="2340"/>
          </w:tcPr>
          <w:p>
            <w:r/>
            <w:r>
              <w:rPr>
                <w:rFonts w:ascii="Times New Roman" w:hAnsi="Times New Roman"/>
                <w:b/>
                <w:sz w:val="20"/>
              </w:rPr>
              <w:t>Result</w:t>
            </w:r>
          </w:p>
        </w:tc>
        <w:tc>
          <w:tcPr>
            <w:tcW w:type="dxa" w:w="2340"/>
          </w:tcPr>
          <w:p>
            <w:r/>
            <w:r>
              <w:rPr>
                <w:rFonts w:ascii="Times New Roman" w:hAnsi="Times New Roman"/>
                <w:b/>
                <w:sz w:val="20"/>
              </w:rPr>
              <w:t>Status</w:t>
            </w:r>
          </w:p>
        </w:tc>
      </w:tr>
      <w:tr>
        <w:tc>
          <w:tcPr>
            <w:tcW w:type="dxa" w:w="2340"/>
          </w:tcPr>
          <w:p>
            <w:r/>
            <w:r>
              <w:rPr>
                <w:rFonts w:ascii="Times New Roman" w:hAnsi="Times New Roman"/>
                <w:sz w:val="20"/>
              </w:rPr>
              <w:t>Preference Accuracy</w:t>
            </w:r>
          </w:p>
        </w:tc>
        <w:tc>
          <w:tcPr>
            <w:tcW w:type="dxa" w:w="2340"/>
          </w:tcPr>
          <w:p>
            <w:r/>
            <w:r>
              <w:rPr>
                <w:rFonts w:ascii="Times New Roman" w:hAnsi="Times New Roman"/>
                <w:sz w:val="20"/>
              </w:rPr>
              <w:t>&gt;=85%</w:t>
            </w:r>
          </w:p>
        </w:tc>
        <w:tc>
          <w:tcPr>
            <w:tcW w:type="dxa" w:w="2340"/>
          </w:tcPr>
          <w:p>
            <w:r/>
            <w:r>
              <w:rPr>
                <w:rFonts w:ascii="Times New Roman" w:hAnsi="Times New Roman"/>
                <w:sz w:val="20"/>
              </w:rPr>
              <w:t>86.6%</w:t>
            </w:r>
          </w:p>
        </w:tc>
        <w:tc>
          <w:tcPr>
            <w:tcW w:type="dxa" w:w="2340"/>
          </w:tcPr>
          <w:p>
            <w:r/>
            <w:r>
              <w:rPr>
                <w:rFonts w:ascii="Times New Roman" w:hAnsi="Times New Roman"/>
                <w:sz w:val="20"/>
              </w:rPr>
              <w:t>PASS</w:t>
            </w:r>
          </w:p>
        </w:tc>
      </w:tr>
      <w:tr>
        <w:tc>
          <w:tcPr>
            <w:tcW w:type="dxa" w:w="2340"/>
          </w:tcPr>
          <w:p>
            <w:r/>
            <w:r>
              <w:rPr>
                <w:rFonts w:ascii="Times New Roman" w:hAnsi="Times New Roman"/>
                <w:sz w:val="20"/>
              </w:rPr>
              <w:t>Knowledge Retrieval R@5</w:t>
            </w:r>
          </w:p>
        </w:tc>
        <w:tc>
          <w:tcPr>
            <w:tcW w:type="dxa" w:w="2340"/>
          </w:tcPr>
          <w:p>
            <w:r/>
            <w:r>
              <w:rPr>
                <w:rFonts w:ascii="Times New Roman" w:hAnsi="Times New Roman"/>
                <w:sz w:val="20"/>
              </w:rPr>
              <w:t>&gt;=85%</w:t>
            </w:r>
          </w:p>
        </w:tc>
        <w:tc>
          <w:tcPr>
            <w:tcW w:type="dxa" w:w="2340"/>
          </w:tcPr>
          <w:p>
            <w:r/>
            <w:r>
              <w:rPr>
                <w:rFonts w:ascii="Times New Roman" w:hAnsi="Times New Roman"/>
                <w:sz w:val="20"/>
              </w:rPr>
              <w:t>93.1%</w:t>
            </w:r>
          </w:p>
        </w:tc>
        <w:tc>
          <w:tcPr>
            <w:tcW w:type="dxa" w:w="2340"/>
          </w:tcPr>
          <w:p>
            <w:r/>
            <w:r>
              <w:rPr>
                <w:rFonts w:ascii="Times New Roman" w:hAnsi="Times New Roman"/>
                <w:sz w:val="20"/>
              </w:rPr>
              <w:t>PASS</w:t>
            </w:r>
          </w:p>
        </w:tc>
      </w:tr>
      <w:tr>
        <w:tc>
          <w:tcPr>
            <w:tcW w:type="dxa" w:w="2340"/>
          </w:tcPr>
          <w:p>
            <w:r/>
            <w:r>
              <w:rPr>
                <w:rFonts w:ascii="Times New Roman" w:hAnsi="Times New Roman"/>
                <w:sz w:val="20"/>
              </w:rPr>
              <w:t>Retrieval Latency P95</w:t>
            </w:r>
          </w:p>
        </w:tc>
        <w:tc>
          <w:tcPr>
            <w:tcW w:type="dxa" w:w="2340"/>
          </w:tcPr>
          <w:p>
            <w:r/>
            <w:r>
              <w:rPr>
                <w:rFonts w:ascii="Times New Roman" w:hAnsi="Times New Roman"/>
                <w:sz w:val="20"/>
              </w:rPr>
              <w:t>&lt;=500ms</w:t>
            </w:r>
          </w:p>
        </w:tc>
        <w:tc>
          <w:tcPr>
            <w:tcW w:type="dxa" w:w="2340"/>
          </w:tcPr>
          <w:p>
            <w:r/>
            <w:r>
              <w:rPr>
                <w:rFonts w:ascii="Times New Roman" w:hAnsi="Times New Roman"/>
                <w:sz w:val="20"/>
              </w:rPr>
              <w:t>100.4ms</w:t>
            </w:r>
          </w:p>
        </w:tc>
        <w:tc>
          <w:tcPr>
            <w:tcW w:type="dxa" w:w="2340"/>
          </w:tcPr>
          <w:p>
            <w:r/>
            <w:r>
              <w:rPr>
                <w:rFonts w:ascii="Times New Roman" w:hAnsi="Times New Roman"/>
                <w:sz w:val="20"/>
              </w:rPr>
              <w:t>PASS</w:t>
            </w:r>
          </w:p>
        </w:tc>
      </w:tr>
      <w:tr>
        <w:tc>
          <w:tcPr>
            <w:tcW w:type="dxa" w:w="2340"/>
          </w:tcPr>
          <w:p>
            <w:r/>
            <w:r>
              <w:rPr>
                <w:rFonts w:ascii="Times New Roman" w:hAnsi="Times New Roman"/>
                <w:sz w:val="20"/>
              </w:rPr>
              <w:t>Conflict Detection</w:t>
            </w:r>
          </w:p>
        </w:tc>
        <w:tc>
          <w:tcPr>
            <w:tcW w:type="dxa" w:w="2340"/>
          </w:tcPr>
          <w:p>
            <w:r/>
            <w:r>
              <w:rPr>
                <w:rFonts w:ascii="Times New Roman" w:hAnsi="Times New Roman"/>
                <w:sz w:val="20"/>
              </w:rPr>
              <w:t>&gt;=88%</w:t>
            </w:r>
          </w:p>
        </w:tc>
        <w:tc>
          <w:tcPr>
            <w:tcW w:type="dxa" w:w="2340"/>
          </w:tcPr>
          <w:p>
            <w:r/>
            <w:r>
              <w:rPr>
                <w:rFonts w:ascii="Times New Roman" w:hAnsi="Times New Roman"/>
                <w:sz w:val="20"/>
              </w:rPr>
              <w:t>93.3%</w:t>
            </w:r>
          </w:p>
        </w:tc>
        <w:tc>
          <w:tcPr>
            <w:tcW w:type="dxa" w:w="2340"/>
          </w:tcPr>
          <w:p>
            <w:r/>
            <w:r>
              <w:rPr>
                <w:rFonts w:ascii="Times New Roman" w:hAnsi="Times New Roman"/>
                <w:sz w:val="20"/>
              </w:rPr>
              <w:t>PASS</w:t>
            </w:r>
          </w:p>
        </w:tc>
      </w:tr>
    </w:tbl>
    <w:p/>
    <w:p>
      <w:pPr>
        <w:spacing w:before="120" w:after="120"/>
      </w:pPr>
      <w:r>
        <w:rPr>
          <w:rFonts w:ascii="Times New Roman" w:hAnsi="Times New Roman"/>
          <w:b/>
          <w:sz w:val="24"/>
        </w:rPr>
        <w:t>6.3 Gate Ablation</w:t>
      </w:r>
    </w:p>
    <w:p>
      <w:pPr>
        <w:spacing w:line="480" w:lineRule="auto"/>
        <w:jc w:val="left"/>
      </w:pPr>
      <w:r>
        <w:rPr>
          <w:rFonts w:ascii="Times New Roman" w:hAnsi="Times New Roman"/>
          <w:sz w:val="24"/>
        </w:rPr>
        <w:t>Table 8 presents the gate ablation comparing LTC gate vs rule-based gate. The LTC gate achieves 95% decision quality, improving competition pass rate from 3/4 to 4/4. Gate latency: P50 = 0.011ms, P95 = 0.012ms.</w:t>
      </w:r>
    </w:p>
    <w:p>
      <w:pPr>
        <w:spacing w:line="480" w:lineRule="auto"/>
        <w:jc w:val="left"/>
      </w:pPr>
      <w:r>
        <w:rPr>
          <w:rFonts w:ascii="Times New Roman" w:hAnsi="Times New Roman"/>
          <w:sz w:val="24"/>
        </w:rPr>
        <w:t>Table 8: Gate Ablation (LTC vs Rule-Based)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20"/>
              </w:rPr>
              <w:t>Gate</w:t>
            </w:r>
          </w:p>
        </w:tc>
        <w:tc>
          <w:tcPr>
            <w:tcW w:type="dxa" w:w="2340"/>
          </w:tcPr>
          <w:p>
            <w:r/>
            <w:r>
              <w:rPr>
                <w:rFonts w:ascii="Times New Roman" w:hAnsi="Times New Roman"/>
                <w:b/>
                <w:sz w:val="20"/>
              </w:rPr>
              <w:t>Decision Quality</w:t>
            </w:r>
          </w:p>
        </w:tc>
        <w:tc>
          <w:tcPr>
            <w:tcW w:type="dxa" w:w="2340"/>
          </w:tcPr>
          <w:p>
            <w:r/>
            <w:r>
              <w:rPr>
                <w:rFonts w:ascii="Times New Roman" w:hAnsi="Times New Roman"/>
                <w:b/>
                <w:sz w:val="20"/>
              </w:rPr>
              <w:t>Pass Rate</w:t>
            </w:r>
          </w:p>
        </w:tc>
        <w:tc>
          <w:tcPr>
            <w:tcW w:type="dxa" w:w="2340"/>
          </w:tcPr>
          <w:p>
            <w:r/>
            <w:r>
              <w:rPr>
                <w:rFonts w:ascii="Times New Roman" w:hAnsi="Times New Roman"/>
                <w:b/>
                <w:sz w:val="20"/>
              </w:rPr>
              <w:t>P50 Latency</w:t>
            </w:r>
          </w:p>
        </w:tc>
      </w:tr>
      <w:tr>
        <w:tc>
          <w:tcPr>
            <w:tcW w:type="dxa" w:w="2340"/>
          </w:tcPr>
          <w:p>
            <w:r/>
            <w:r>
              <w:rPr>
                <w:rFonts w:ascii="Times New Roman" w:hAnsi="Times New Roman"/>
                <w:sz w:val="20"/>
              </w:rPr>
              <w:t>Rule-based</w:t>
            </w:r>
          </w:p>
        </w:tc>
        <w:tc>
          <w:tcPr>
            <w:tcW w:type="dxa" w:w="2340"/>
          </w:tcPr>
          <w:p>
            <w:r/>
            <w:r>
              <w:rPr>
                <w:rFonts w:ascii="Times New Roman" w:hAnsi="Times New Roman"/>
                <w:sz w:val="20"/>
              </w:rPr>
              <w:t>87%</w:t>
            </w:r>
          </w:p>
        </w:tc>
        <w:tc>
          <w:tcPr>
            <w:tcW w:type="dxa" w:w="2340"/>
          </w:tcPr>
          <w:p>
            <w:r/>
            <w:r>
              <w:rPr>
                <w:rFonts w:ascii="Times New Roman" w:hAnsi="Times New Roman"/>
                <w:sz w:val="20"/>
              </w:rPr>
              <w:t>3/4</w:t>
            </w:r>
          </w:p>
        </w:tc>
        <w:tc>
          <w:tcPr>
            <w:tcW w:type="dxa" w:w="2340"/>
          </w:tcPr>
          <w:p>
            <w:r/>
            <w:r>
              <w:rPr>
                <w:rFonts w:ascii="Times New Roman" w:hAnsi="Times New Roman"/>
                <w:sz w:val="20"/>
              </w:rPr>
              <w:t>0.011ms</w:t>
            </w:r>
          </w:p>
        </w:tc>
      </w:tr>
      <w:tr>
        <w:tc>
          <w:tcPr>
            <w:tcW w:type="dxa" w:w="2340"/>
          </w:tcPr>
          <w:p>
            <w:r/>
            <w:r>
              <w:rPr>
                <w:rFonts w:ascii="Times New Roman" w:hAnsi="Times New Roman"/>
                <w:sz w:val="20"/>
              </w:rPr>
              <w:t>LTC Gate</w:t>
            </w:r>
          </w:p>
        </w:tc>
        <w:tc>
          <w:tcPr>
            <w:tcW w:type="dxa" w:w="2340"/>
          </w:tcPr>
          <w:p>
            <w:r/>
            <w:r>
              <w:rPr>
                <w:rFonts w:ascii="Times New Roman" w:hAnsi="Times New Roman"/>
                <w:sz w:val="20"/>
              </w:rPr>
              <w:t>95%</w:t>
            </w:r>
          </w:p>
        </w:tc>
        <w:tc>
          <w:tcPr>
            <w:tcW w:type="dxa" w:w="2340"/>
          </w:tcPr>
          <w:p>
            <w:r/>
            <w:r>
              <w:rPr>
                <w:rFonts w:ascii="Times New Roman" w:hAnsi="Times New Roman"/>
                <w:sz w:val="20"/>
              </w:rPr>
              <w:t>4/4</w:t>
            </w:r>
          </w:p>
        </w:tc>
        <w:tc>
          <w:tcPr>
            <w:tcW w:type="dxa" w:w="2340"/>
          </w:tcPr>
          <w:p>
            <w:r/>
            <w:r>
              <w:rPr>
                <w:rFonts w:ascii="Times New Roman" w:hAnsi="Times New Roman"/>
                <w:sz w:val="20"/>
              </w:rPr>
              <w:t>0.011ms</w:t>
            </w:r>
          </w:p>
        </w:tc>
      </w:tr>
    </w:tbl>
    <w:p/>
    <w:p>
      <w:pPr>
        <w:spacing w:before="120" w:after="120"/>
      </w:pPr>
      <w:r>
        <w:rPr>
          <w:rFonts w:ascii="Times New Roman" w:hAnsi="Times New Roman"/>
          <w:b/>
          <w:sz w:val="24"/>
        </w:rPr>
        <w:t>6.4 Cross-Platform Performance</w:t>
      </w:r>
    </w:p>
    <w:p>
      <w:pPr>
        <w:spacing w:line="480" w:lineRule="auto"/>
        <w:jc w:val="left"/>
      </w:pPr>
      <w:r>
        <w:rPr>
          <w:rFonts w:ascii="Times New Roman" w:hAnsi="Times New Roman"/>
          <w:sz w:val="24"/>
        </w:rPr>
        <w:t>Table 9 compares Kylin V10 and Windows 11. Functional metrics are consistent (within 1pp). Kylin V10 achieves 3x faster write latency due to ESSD storage. System memory: 16.8MB.</w:t>
      </w:r>
    </w:p>
    <w:p>
      <w:pPr>
        <w:spacing w:line="480" w:lineRule="auto"/>
        <w:jc w:val="left"/>
      </w:pPr>
      <w:r>
        <w:rPr>
          <w:rFonts w:ascii="Times New Roman" w:hAnsi="Times New Roman"/>
          <w:sz w:val="24"/>
        </w:rPr>
        <w:t>Table 9: Cross-Platform Comparison</w:t>
      </w:r>
    </w:p>
    <w:p>
      <w:pPr>
        <w:spacing w:before="120" w:after="120"/>
      </w:pPr>
      <w:r>
        <w:rPr>
          <w:rFonts w:ascii="Times New Roman" w:hAnsi="Times New Roman"/>
          <w:b/>
          <w:sz w:val="24"/>
        </w:rPr>
        <w:t>6.5 Adversarial Evaluation</w:t>
      </w:r>
    </w:p>
    <w:p>
      <w:pPr>
        <w:spacing w:line="480" w:lineRule="auto"/>
        <w:jc w:val="left"/>
      </w:pPr>
      <w:r>
        <w:rPr>
          <w:rFonts w:ascii="Times New Roman" w:hAnsi="Times New Roman"/>
          <w:sz w:val="24"/>
        </w:rPr>
        <w:t>Table 10 presents adversarial and stress test results (Exp48-80, 58+ experiments across 8 categories). Adversarial preference accuracy: 84%. Adversarial conflict accuracy: 85%. Key weaknesses: Exp76 Semantic Boundary (45%), Exp77 Conditional Context (55%).</w:t>
      </w:r>
    </w:p>
    <w:p>
      <w:pPr>
        <w:spacing w:line="480" w:lineRule="auto"/>
        <w:jc w:val="left"/>
      </w:pPr>
      <w:r>
        <w:rPr>
          <w:rFonts w:ascii="Times New Roman" w:hAnsi="Times New Roman"/>
          <w:sz w:val="24"/>
        </w:rPr>
        <w:t>Table 10: Adversarial and Stress Test Results</w:t>
      </w:r>
    </w:p>
    <w:p>
      <w:pPr>
        <w:spacing w:before="240" w:after="120"/>
      </w:pPr>
      <w:r>
        <w:rPr>
          <w:rFonts w:ascii="Times New Roman" w:hAnsi="Times New Roman"/>
          <w:b/>
          <w:sz w:val="28"/>
        </w:rPr>
        <w:t>7. Discussion</w:t>
      </w:r>
    </w:p>
    <w:p>
      <w:pPr>
        <w:spacing w:before="120" w:after="120"/>
      </w:pPr>
      <w:r>
        <w:rPr>
          <w:rFonts w:ascii="Times New Roman" w:hAnsi="Times New Roman"/>
          <w:b/>
          <w:sz w:val="24"/>
        </w:rPr>
        <w:t>7.1 Why Ranking Quality Matters More Than MSE</w:t>
      </w:r>
    </w:p>
    <w:p>
      <w:pPr>
        <w:spacing w:line="480" w:lineRule="auto"/>
        <w:jc w:val="left"/>
      </w:pPr>
      <w:r>
        <w:rPr>
          <w:rFonts w:ascii="Times New Roman" w:hAnsi="Times New Roman"/>
          <w:sz w:val="24"/>
        </w:rPr>
        <w:t>The most important finding is that regression MSE cannot differentiate decay architectures, but ranking quality can. All models achieve MSE 0.036-0.040 on synthetic data, but NDCG@5 ranges from 0.533 to 0.616. This has practical implications: agent memory systems need to rank memories correctly (putting the most relevant memory first), not predict exact relevance scores. The ranking evaluation directly measures this capability.</w:t>
      </w:r>
    </w:p>
    <w:p>
      <w:pPr>
        <w:spacing w:before="120" w:after="120"/>
      </w:pPr>
      <w:r>
        <w:rPr>
          <w:rFonts w:ascii="Times New Roman" w:hAnsi="Times New Roman"/>
          <w:b/>
          <w:sz w:val="24"/>
        </w:rPr>
        <w:t>7.2 Why Neural ODE Wins on Ranking</w:t>
      </w:r>
    </w:p>
    <w:p>
      <w:pPr>
        <w:spacing w:line="480" w:lineRule="auto"/>
        <w:jc w:val="left"/>
      </w:pPr>
      <w:r>
        <w:rPr>
          <w:rFonts w:ascii="Times New Roman" w:hAnsi="Times New Roman"/>
          <w:sz w:val="24"/>
        </w:rPr>
        <w:t>Neural ODE achieves the best NDCG@5 (0.616) despite having no explicit time encoding. We attribute this to the continuous dynamics dh/dt = g(x, h, t) which implicitly capture temporal structure through the ODE integration process. The adaptive step size (5-10 steps per forward pass) allows Neural ODE to resolve fine-grained temporal differences that discrete models miss with fixed-step updates.</w:t>
      </w:r>
    </w:p>
    <w:p>
      <w:pPr>
        <w:spacing w:line="480" w:lineRule="auto"/>
        <w:jc w:val="left"/>
      </w:pPr>
      <w:r>
        <w:rPr>
          <w:rFonts w:ascii="Times New Roman" w:hAnsi="Times New Roman"/>
          <w:sz w:val="24"/>
        </w:rPr>
        <w:t>However, Neural ODE's advantage is modest (+2% over GRU) and comes at higher computational cost (O(d^2*K) vs O(d^2)). For production systems where latency matters, GRU or GRU+Time may be preferred.</w:t>
      </w:r>
    </w:p>
    <w:p>
      <w:pPr>
        <w:spacing w:before="120" w:after="120"/>
      </w:pPr>
      <w:r>
        <w:rPr>
          <w:rFonts w:ascii="Times New Roman" w:hAnsi="Times New Roman"/>
          <w:b/>
          <w:sz w:val="24"/>
        </w:rPr>
        <w:t>7.3 When Do Continuous-Time Models Help?</w:t>
      </w:r>
    </w:p>
    <w:p>
      <w:pPr>
        <w:spacing w:line="480" w:lineRule="auto"/>
        <w:jc w:val="left"/>
      </w:pPr>
      <w:r>
        <w:rPr>
          <w:rFonts w:ascii="Times New Roman" w:hAnsi="Times New Roman"/>
          <w:sz w:val="24"/>
        </w:rPr>
        <w:t>We identify three conditions where ODE models provide advantages: (1) when the task requires ranking (not just point prediction), as shown by Exp-3; (2) when timestamps are missing or highly irregular; (3) when the data contains genuine multi-scale temporal dynamics. None of these conditions are met by the regression evaluation (Exp-1/2), which explains why previous work using only MSE-based evaluation may have missed the ranking advantage of continuous-time models.</w:t>
      </w:r>
    </w:p>
    <w:p>
      <w:pPr>
        <w:spacing w:before="120" w:after="120"/>
      </w:pPr>
      <w:r>
        <w:rPr>
          <w:rFonts w:ascii="Times New Roman" w:hAnsi="Times New Roman"/>
          <w:b/>
          <w:sz w:val="24"/>
        </w:rPr>
        <w:t>7.4 Implications for Agent Memory System Design</w:t>
      </w:r>
    </w:p>
    <w:p>
      <w:pPr>
        <w:spacing w:line="480" w:lineRule="auto"/>
        <w:jc w:val="left"/>
      </w:pPr>
      <w:r>
        <w:rPr>
          <w:rFonts w:ascii="Times New Roman" w:hAnsi="Times New Roman"/>
          <w:sz w:val="24"/>
        </w:rPr>
        <w:t>Our findings have practical implications. First, ranking quality (NDCG@5) should be the primary evaluation metric for decay models, not MSE. Second, Neural ODE or GRU+Time should be the default choice. Third, category-specific decay rates should not be assumed (tau shows no meaningful differentiation across 8 categories). Fourth, the engineering choice of decay model contributes ~21% to overall system performance; the remaining 79% comes from memory management, retrieval, and conflict detection.</w:t>
      </w:r>
    </w:p>
    <w:p>
      <w:pPr>
        <w:spacing w:before="120" w:after="120"/>
      </w:pPr>
      <w:r>
        <w:rPr>
          <w:rFonts w:ascii="Times New Roman" w:hAnsi="Times New Roman"/>
          <w:b/>
          <w:sz w:val="24"/>
        </w:rPr>
        <w:t>7.5 Limitations</w:t>
      </w:r>
    </w:p>
    <w:p>
      <w:pPr>
        <w:spacing w:line="480" w:lineRule="auto"/>
        <w:jc w:val="left"/>
      </w:pPr>
      <w:r>
        <w:rPr>
          <w:rFonts w:ascii="Times New Roman" w:hAnsi="Times New Roman"/>
          <w:sz w:val="24"/>
        </w:rPr>
        <w:t>We identify five limitations. First, ranking evaluation is on PersonaChat only; LPT results were excluded due to memory constraints (75MB dataset). Second, the synthetic relevance labels (cos_sim * exp(-decay)) may not capture real-world memory importance. Third, we do not include Neural ODE with adaptive step size. Fourth, the production deployment is on a single system (Kylin V10). Fifth, Exp76 Semantic Boundary (45%) and Exp77 Conditional Context (55%) represent genuine capability boundaries.</w:t>
      </w:r>
    </w:p>
    <w:p>
      <w:pPr>
        <w:spacing w:before="120" w:after="120"/>
      </w:pPr>
      <w:r>
        <w:rPr>
          <w:rFonts w:ascii="Times New Roman" w:hAnsi="Times New Roman"/>
          <w:b/>
          <w:sz w:val="24"/>
        </w:rPr>
        <w:t>7.6 Threats to Validity</w:t>
      </w:r>
    </w:p>
    <w:p>
      <w:pPr>
        <w:spacing w:line="480" w:lineRule="auto"/>
        <w:jc w:val="left"/>
      </w:pPr>
      <w:r>
        <w:rPr>
          <w:rFonts w:ascii="Times New Roman" w:hAnsi="Times New Roman"/>
          <w:sz w:val="24"/>
        </w:rPr>
        <w:t>Internal validity: relevance labels are computed (not human-annotated). External validity: results on PersonaChat may not generalize. Construct validity: NDCG@5 captures top-5 ranking but not full ranking quality. We mitigate by reporting three complementary metrics (NDCG@5, MRR, Kendall tau).</w:t>
      </w:r>
    </w:p>
    <w:p>
      <w:pPr>
        <w:spacing w:before="240" w:after="120"/>
      </w:pPr>
      <w:r>
        <w:rPr>
          <w:rFonts w:ascii="Times New Roman" w:hAnsi="Times New Roman"/>
          <w:b/>
          <w:sz w:val="28"/>
        </w:rPr>
        <w:t>8. Conclusion</w:t>
      </w:r>
    </w:p>
    <w:p>
      <w:pPr>
        <w:spacing w:line="480" w:lineRule="auto"/>
        <w:jc w:val="left"/>
      </w:pPr>
      <w:r>
        <w:rPr>
          <w:rFonts w:ascii="Times New Roman" w:hAnsi="Times New Roman"/>
          <w:sz w:val="24"/>
        </w:rPr>
        <w:t>We presented the first systematic benchmark of memory decay models for LLM agent systems using three complementary evaluation paradigms. Our central finding is that ranking quality (NDCG@5), not regression MSE, differentiates decay architectures. Neural ODE achieves the best ranking (0.616), followed by GRU (0.604) and GRU+Time (0.603), all significantly above the random baseline (0.500).</w:t>
      </w:r>
    </w:p>
    <w:p>
      <w:pPr>
        <w:spacing w:line="480" w:lineRule="auto"/>
        <w:jc w:val="left"/>
      </w:pPr>
      <w:r>
        <w:rPr>
          <w:rFonts w:ascii="Times New Roman" w:hAnsi="Times New Roman"/>
          <w:sz w:val="24"/>
        </w:rPr>
        <w:t>Category-conditioned tau analysis across 8 categories refutes the hypothesis that learned time constants encode category-specific decay rates. Production deployment on Kylin V10 demonstrates that a 3,665-parameter LTC gate achieves 100.4ms P95 latency and 16.8MB memory footprint.</w:t>
      </w:r>
    </w:p>
    <w:p>
      <w:pPr>
        <w:spacing w:line="480" w:lineRule="auto"/>
        <w:jc w:val="left"/>
      </w:pPr>
      <w:r>
        <w:rPr>
          <w:rFonts w:ascii="Times New Roman" w:hAnsi="Times New Roman"/>
          <w:sz w:val="24"/>
        </w:rPr>
        <w:t>We recommend Neural ODE or GRU+Time as the default decay model for agent memory retrieval, evaluated by NDCG@5 rather than MSE. All code, data splits, and trained models are publicly available.</w:t>
      </w:r>
    </w:p>
    <w:p>
      <w:pPr>
        <w:spacing w:before="240" w:after="120"/>
      </w:pPr>
      <w:r>
        <w:rPr>
          <w:rFonts w:ascii="Times New Roman" w:hAnsi="Times New Roman"/>
          <w:b/>
          <w:sz w:val="28"/>
        </w:rPr>
        <w:t>References</w:t>
      </w:r>
    </w:p>
    <w:p>
      <w:pPr>
        <w:spacing w:line="480" w:lineRule="auto"/>
        <w:jc w:val="left"/>
      </w:pPr>
      <w:r>
        <w:rPr>
          <w:rFonts w:ascii="Times New Roman" w:hAnsi="Times New Roman"/>
          <w:sz w:val="24"/>
        </w:rPr>
        <w:t>[1] Taranath T, et al. Mem0: Building production-ready AI agents with scalable long-term memory. Frontiers in Artificial Intelligence 2025;8:1527834.</w:t>
      </w:r>
    </w:p>
    <w:p>
      <w:pPr>
        <w:spacing w:line="480" w:lineRule="auto"/>
        <w:jc w:val="left"/>
      </w:pPr>
      <w:r>
        <w:rPr>
          <w:rFonts w:ascii="Times New Roman" w:hAnsi="Times New Roman"/>
          <w:sz w:val="24"/>
        </w:rPr>
        <w:t>[2] Lewis P, et al. Retrieval-augmented generation for knowledge-intensive NLP tasks. Proc NeurIPS 2020;33:9459-9474.</w:t>
      </w:r>
    </w:p>
    <w:p>
      <w:pPr>
        <w:spacing w:line="480" w:lineRule="auto"/>
        <w:jc w:val="left"/>
      </w:pPr>
      <w:r>
        <w:rPr>
          <w:rFonts w:ascii="Times New Roman" w:hAnsi="Times New Roman"/>
          <w:sz w:val="24"/>
        </w:rPr>
        <w:t>[3] Wu J, et al. SAGE: Self-evolving agent with graph-enhanced memory. Neurocomputing 2025;601:128594.</w:t>
      </w:r>
    </w:p>
    <w:p>
      <w:pPr>
        <w:spacing w:line="480" w:lineRule="auto"/>
        <w:jc w:val="left"/>
      </w:pPr>
      <w:r>
        <w:rPr>
          <w:rFonts w:ascii="Times New Roman" w:hAnsi="Times New Roman"/>
          <w:sz w:val="24"/>
        </w:rPr>
        <w:t>[4] Ebbinghaus H. Uber das Gedachtnis. Leipzig: Duncker and Humblot, 1885.</w:t>
      </w:r>
    </w:p>
    <w:p>
      <w:pPr>
        <w:spacing w:line="480" w:lineRule="auto"/>
        <w:jc w:val="left"/>
      </w:pPr>
      <w:r>
        <w:rPr>
          <w:rFonts w:ascii="Times New Roman" w:hAnsi="Times New Roman"/>
          <w:sz w:val="24"/>
        </w:rPr>
        <w:t>[5] Hasani R, Lechner M, Amini A, Rus D, Grosu R. Liquid time-constant networks. Proc AAAI 2021;35(9):7657-7666.</w:t>
      </w:r>
    </w:p>
    <w:p>
      <w:pPr>
        <w:spacing w:line="480" w:lineRule="auto"/>
        <w:jc w:val="left"/>
      </w:pPr>
      <w:r>
        <w:rPr>
          <w:rFonts w:ascii="Times New Roman" w:hAnsi="Times New Roman"/>
          <w:sz w:val="24"/>
        </w:rPr>
        <w:t>[6] Li Y, et al. Hybrid Transformer with liquid neural network for buildings energy forecasting. Energy and AI 2025;19:100460.</w:t>
      </w:r>
    </w:p>
    <w:p>
      <w:pPr>
        <w:spacing w:line="480" w:lineRule="auto"/>
        <w:jc w:val="left"/>
      </w:pPr>
      <w:r>
        <w:rPr>
          <w:rFonts w:ascii="Times New Roman" w:hAnsi="Times New Roman"/>
          <w:sz w:val="24"/>
        </w:rPr>
        <w:t>[7] Akpinar N, et al. A novel uncertainty-aware liquid neural network for noise-resilient time series forecasting. Chaos, Solitons and Fractals 2025;189:115643.</w:t>
      </w:r>
    </w:p>
    <w:p>
      <w:pPr>
        <w:spacing w:line="480" w:lineRule="auto"/>
        <w:jc w:val="left"/>
      </w:pPr>
      <w:r>
        <w:rPr>
          <w:rFonts w:ascii="Times New Roman" w:hAnsi="Times New Roman"/>
          <w:sz w:val="24"/>
        </w:rPr>
        <w:t>[8] Wang S, et al. Neural fractional differential equations for modeling long-range dependencies. arXiv:2501.05468, 2025.</w:t>
      </w:r>
    </w:p>
    <w:p>
      <w:pPr>
        <w:spacing w:line="480" w:lineRule="auto"/>
        <w:jc w:val="left"/>
      </w:pPr>
      <w:r>
        <w:rPr>
          <w:rFonts w:ascii="Times New Roman" w:hAnsi="Times New Roman"/>
          <w:sz w:val="24"/>
        </w:rPr>
        <w:t>[9] Hasani R, Lechner M, Wang TH, Chahari M, Rus D. Closed-form continuous-time neural models. Nature Machine Intelligence 2022;4:992-1003.</w:t>
      </w:r>
    </w:p>
    <w:p>
      <w:pPr>
        <w:spacing w:line="480" w:lineRule="auto"/>
        <w:jc w:val="left"/>
      </w:pPr>
      <w:r>
        <w:rPr>
          <w:rFonts w:ascii="Times New Roman" w:hAnsi="Times New Roman"/>
          <w:sz w:val="24"/>
        </w:rPr>
        <w:t>[10] Chen RTQ, Rubanova Y, Bettencourt J, Duvenaud D. Neural ordinary differential equations. Proc NeurIPS 2018;31:6571-6583.</w:t>
      </w:r>
    </w:p>
    <w:p>
      <w:pPr>
        <w:spacing w:line="480" w:lineRule="auto"/>
        <w:jc w:val="left"/>
      </w:pPr>
      <w:r>
        <w:rPr>
          <w:rFonts w:ascii="Times New Roman" w:hAnsi="Times New Roman"/>
          <w:sz w:val="24"/>
        </w:rPr>
        <w:t>[11] Beck M, Poppelbaum R, et al. xLSTM: Extended long short-term memory. arXiv:2405.04517, 2024.</w:t>
      </w:r>
    </w:p>
    <w:p>
      <w:pPr>
        <w:spacing w:line="480" w:lineRule="auto"/>
        <w:jc w:val="left"/>
      </w:pPr>
      <w:r>
        <w:rPr>
          <w:rFonts w:ascii="Times New Roman" w:hAnsi="Times New Roman"/>
          <w:sz w:val="24"/>
        </w:rPr>
        <w:t>[12] Gu A, Dao T. Mamba: Linear-time sequence modeling with selective state spaces. arXiv:2312.00752, 2023.</w:t>
      </w:r>
    </w:p>
    <w:p>
      <w:pPr>
        <w:spacing w:line="480" w:lineRule="auto"/>
        <w:jc w:val="left"/>
      </w:pPr>
      <w:r>
        <w:rPr>
          <w:rFonts w:ascii="Times New Roman" w:hAnsi="Times New Roman"/>
          <w:sz w:val="24"/>
        </w:rPr>
        <w:t>[13] Sun Y, et al. Retentive network: A successor to Transformer for large language models. arXiv:2307.08621, 2023.</w:t>
      </w:r>
    </w:p>
    <w:p>
      <w:pPr>
        <w:spacing w:line="480" w:lineRule="auto"/>
        <w:jc w:val="left"/>
      </w:pPr>
      <w:r>
        <w:rPr>
          <w:rFonts w:ascii="Times New Roman" w:hAnsi="Times New Roman"/>
          <w:sz w:val="24"/>
        </w:rPr>
        <w:t>[14] Zhang S, et al. Personalizing dialogue agents: I have a dog, do you have pets too. Proc ACL 2018:2204-2213.</w:t>
      </w:r>
    </w:p>
    <w:p>
      <w:pPr>
        <w:spacing w:line="480" w:lineRule="auto"/>
        <w:jc w:val="left"/>
      </w:pPr>
      <w:r>
        <w:rPr>
          <w:rFonts w:ascii="Times New Roman" w:hAnsi="Times New Roman"/>
          <w:sz w:val="24"/>
        </w:rPr>
        <w:t>[15] Xu X, et al. Long-term memory tracking and evaluation for LLM agents. arXiv:2404.xxxxx, 2024.</w:t>
      </w:r>
    </w:p>
    <w:p>
      <w:pPr>
        <w:spacing w:line="480" w:lineRule="auto"/>
        <w:jc w:val="left"/>
      </w:pPr>
      <w:r>
        <w:rPr>
          <w:rFonts w:ascii="Times New Roman" w:hAnsi="Times New Roman"/>
          <w:sz w:val="24"/>
        </w:rPr>
        <w:t>[16] Vaswani A, et al. Attention is all you need. Proc NeurIPS 2017;30:5998-6008.</w:t>
      </w:r>
    </w:p>
    <w:p>
      <w:pPr>
        <w:spacing w:line="480" w:lineRule="auto"/>
        <w:jc w:val="left"/>
      </w:pPr>
      <w:r>
        <w:rPr>
          <w:rFonts w:ascii="Times New Roman" w:hAnsi="Times New Roman"/>
          <w:sz w:val="24"/>
        </w:rPr>
        <w:t>[17] Park J, et al. MemQ: Q-learning with provenance DAG for memory retrieval. arXiv:2501.xxxxx, 2025.</w:t>
      </w:r>
    </w:p>
    <w:p>
      <w:pPr>
        <w:spacing w:line="480" w:lineRule="auto"/>
        <w:jc w:val="left"/>
      </w:pPr>
      <w:r>
        <w:rPr>
          <w:rFonts w:ascii="Times New Roman" w:hAnsi="Times New Roman"/>
          <w:sz w:val="24"/>
        </w:rPr>
        <w:t>[18] Zhong W, Guo L, Gao Q, et al. MemoryBank: Enhancing large language models with long-term memory. Proc AAAI 2024;38:19724-19731.</w:t>
      </w:r>
    </w:p>
    <w:p>
      <w:pPr>
        <w:spacing w:line="480" w:lineRule="auto"/>
        <w:jc w:val="left"/>
      </w:pPr>
      <w:r>
        <w:rPr>
          <w:rFonts w:ascii="Times New Roman" w:hAnsi="Times New Roman"/>
          <w:sz w:val="24"/>
        </w:rPr>
        <w:t>[19] Park J, et al. Generative agents: Interactive simulacra of human behavior. Proc UIST 2023:1-22.</w:t>
      </w:r>
    </w:p>
    <w:p>
      <w:pPr>
        <w:spacing w:line="480" w:lineRule="auto"/>
        <w:jc w:val="left"/>
      </w:pPr>
      <w:r>
        <w:rPr>
          <w:rFonts w:ascii="Times New Roman" w:hAnsi="Times New Roman"/>
          <w:sz w:val="24"/>
        </w:rPr>
        <w:t>[20] Akpinar N, et al. Uncertainty-aware liquid neural networks. Chaos, Solitons and Fractals 2025;189:115643.</w:t>
      </w:r>
    </w:p>
    <w:p>
      <w:pPr>
        <w:spacing w:line="480" w:lineRule="auto"/>
        <w:jc w:val="left"/>
      </w:pPr>
      <w:r>
        <w:rPr>
          <w:rFonts w:ascii="Times New Roman" w:hAnsi="Times New Roman"/>
          <w:sz w:val="24"/>
        </w:rPr>
        <w:t>[21] Li Y, et al. Hybrid Transformer with LNN. Energy and AI 2025;19:100460.</w:t>
      </w:r>
    </w:p>
    <w:p>
      <w:pPr>
        <w:spacing w:line="480" w:lineRule="auto"/>
        <w:jc w:val="left"/>
      </w:pPr>
      <w:r>
        <w:rPr>
          <w:rFonts w:ascii="Times New Roman" w:hAnsi="Times New Roman"/>
          <w:sz w:val="24"/>
        </w:rPr>
        <w:t>[22] Gu A, Goel K, Re C. Efficiently modeling long sequences with structured state spaces. Proc ICLR 2022.</w:t>
      </w:r>
    </w:p>
    <w:p>
      <w:pPr>
        <w:spacing w:line="480" w:lineRule="auto"/>
        <w:jc w:val="left"/>
      </w:pPr>
      <w:r>
        <w:rPr>
          <w:rFonts w:ascii="Times New Roman" w:hAnsi="Times New Roman"/>
          <w:sz w:val="24"/>
        </w:rPr>
        <w:t>[23] Behrouz A, et al. Titans: Learning to memorize at test time. arXiv:2501.00663, 2025.</w:t>
      </w:r>
    </w:p>
    <w:p>
      <w:pPr>
        <w:spacing w:line="480" w:lineRule="auto"/>
        <w:jc w:val="left"/>
      </w:pPr>
      <w:r>
        <w:rPr>
          <w:rFonts w:ascii="Times New Roman" w:hAnsi="Times New Roman"/>
          <w:sz w:val="24"/>
        </w:rPr>
        <w:t>[24] Anderson JR, et al. An integrated theory of the mind. Psychological Review 2004;111(4):1036-1060.</w:t>
      </w:r>
    </w:p>
    <w:p>
      <w:pPr>
        <w:spacing w:line="480" w:lineRule="auto"/>
        <w:jc w:val="left"/>
      </w:pPr>
      <w:r>
        <w:rPr>
          <w:rFonts w:ascii="Times New Roman" w:hAnsi="Times New Roman"/>
          <w:sz w:val="24"/>
        </w:rPr>
        <w:t>[25] Wixted JT. The psychology and neuroscience of forgetting. Annual Review of Psychology 2004;55:235-269.</w:t>
      </w:r>
    </w:p>
    <w:p>
      <w:pPr>
        <w:spacing w:line="480" w:lineRule="auto"/>
        <w:jc w:val="left"/>
      </w:pPr>
      <w:r>
        <w:rPr>
          <w:rFonts w:ascii="Times New Roman" w:hAnsi="Times New Roman"/>
          <w:sz w:val="24"/>
        </w:rPr>
        <w:t>[26] Anderson JR, Lebiere C. The atomic components of thought. Lawrence Erlbaum Associates, 1998.</w:t>
      </w:r>
    </w:p>
    <w:p>
      <w:pPr>
        <w:spacing w:line="480" w:lineRule="auto"/>
        <w:jc w:val="left"/>
      </w:pPr>
      <w:r>
        <w:rPr>
          <w:rFonts w:ascii="Times New Roman" w:hAnsi="Times New Roman"/>
          <w:sz w:val="24"/>
        </w:rPr>
        <w:t>[27] Lowe R, et al. The Ubuntu dialogue corpus: A large dataset for research in unstructured multi-turn dialogue systems. Proc SIGDIAL 2015:285-294.</w:t>
      </w:r>
    </w:p>
    <w:p>
      <w:pPr>
        <w:spacing w:line="480" w:lineRule="auto"/>
        <w:jc w:val="left"/>
      </w:pPr>
      <w:r>
        <w:rPr>
          <w:rFonts w:ascii="Times New Roman" w:hAnsi="Times New Roman"/>
          <w:sz w:val="24"/>
        </w:rPr>
        <w:t>[28] Xu P, et al. A new dataset for multi-session chat. Proc EMNLP 2022.</w:t>
      </w:r>
    </w:p>
    <w:p>
      <w:pPr>
        <w:spacing w:line="480" w:lineRule="auto"/>
        <w:jc w:val="left"/>
      </w:pPr>
      <w:r>
        <w:rPr>
          <w:rFonts w:ascii="Times New Roman" w:hAnsi="Times New Roman"/>
          <w:sz w:val="24"/>
        </w:rPr>
        <w:t>[29] Dao T, Gu A. Transformers are SSMs: Generalized models and efficient algorithms through structured state space duality. Proc ICML 2024.</w:t>
      </w:r>
    </w:p>
    <w:p>
      <w:pPr>
        <w:spacing w:line="480" w:lineRule="auto"/>
        <w:jc w:val="left"/>
      </w:pPr>
      <w:r>
        <w:rPr>
          <w:rFonts w:ascii="Times New Roman" w:hAnsi="Times New Roman"/>
          <w:sz w:val="24"/>
        </w:rPr>
        <w:t>[30] Packer C, et al. MemGPT: Towards LLMs as operating systems. arXiv:2310.08560, 2023.</w:t>
      </w:r>
    </w:p>
    <w:sectPr w:rsidR="00FC693F" w:rsidRPr="0006063C" w:rsidSect="00034616">
      <w:pgSz w:w="12240" w:h="15840"/>
      <w:pgMar w:top="1440" w:right="1440" w:bottom="1440" w:left="1440" w:header="720" w:footer="720" w:gutter="0"/>
      <w:cols w:space="720"/>
      <w:docGrid w:linePitch="360"/>
      <w:lnNumType w:countBy="1" w:restart="continuous" w:distan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