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366649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读事件处理函数，将来从队列申请读内存，读</w:t>
      </w:r>
      <w:r>
        <w:rPr>
          <w:rFonts w:hint="eastAsia"/>
          <w:lang w:val="en-US" w:eastAsia="zh-CN"/>
        </w:rPr>
        <w:t>SOCKET的代码写在这里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但有一点例外，对于监听套接字，实际执行的是ngx_event_accept函数</w:t>
      </w:r>
    </w:p>
    <w:p>
      <w:r>
        <w:drawing>
          <wp:inline distT="0" distB="0" distL="114300" distR="114300">
            <wp:extent cx="5270500" cy="32575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读是这个函数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79883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</w:pPr>
      <w:r>
        <w:rPr>
          <w:rFonts w:hint="eastAsia" w:ascii="新宋体" w:hAnsi="新宋体" w:eastAsia="新宋体"/>
          <w:color w:val="808080"/>
          <w:sz w:val="21"/>
          <w:szCs w:val="21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21"/>
          <w:szCs w:val="21"/>
          <w:highlight w:val="white"/>
        </w:rPr>
        <w:t>_DATA_BUFSIZE_</w:t>
      </w:r>
      <w:r>
        <w:rPr>
          <w:rFonts w:hint="eastAsia" w:ascii="新宋体" w:hAnsi="新宋体" w:eastAsia="新宋体"/>
          <w:color w:val="000000"/>
          <w:sz w:val="21"/>
          <w:szCs w:val="21"/>
          <w:highlight w:val="white"/>
        </w:rPr>
        <w:t xml:space="preserve">       20</w:t>
      </w: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包头的大小只有20，明显比钢管平台要小，这个后面要改</w:t>
      </w: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类的静态成员函数可以通过指针访问所在类的私有成员</w:t>
      </w: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drawing>
          <wp:inline distT="0" distB="0" distL="114300" distR="114300">
            <wp:extent cx="5273040" cy="470281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连接断开是在下面的if语句处理的</w:t>
      </w:r>
    </w:p>
    <w:p>
      <w:pPr>
        <w:rPr>
          <w:rFonts w:hint="default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drawing>
          <wp:inline distT="0" distB="0" distL="114300" distR="114300">
            <wp:extent cx="5271135" cy="3549015"/>
            <wp:effectExtent l="0" t="0" r="190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P_Conn-&gt;rhandler调用这里</w:t>
      </w:r>
    </w:p>
    <w:p>
      <w:r>
        <w:drawing>
          <wp:inline distT="0" distB="0" distL="114300" distR="114300">
            <wp:extent cx="5270500" cy="1645920"/>
            <wp:effectExtent l="0" t="0" r="254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再到这里</w:t>
      </w:r>
    </w:p>
    <w:p>
      <w:r>
        <w:drawing>
          <wp:inline distT="0" distB="0" distL="114300" distR="114300">
            <wp:extent cx="5271770" cy="2564765"/>
            <wp:effectExtent l="0" t="0" r="1270" b="1079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下面这一段为何注释掉了</w:t>
      </w:r>
    </w:p>
    <w:p>
      <w:r>
        <w:drawing>
          <wp:inline distT="0" distB="0" distL="114300" distR="114300">
            <wp:extent cx="5266055" cy="1197610"/>
            <wp:effectExtent l="0" t="0" r="6985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官方的源码是有的</w:t>
      </w:r>
    </w:p>
    <w:p>
      <w:r>
        <w:drawing>
          <wp:inline distT="0" distB="0" distL="114300" distR="114300">
            <wp:extent cx="5272405" cy="2225040"/>
            <wp:effectExtent l="0" t="0" r="635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否则有</w:t>
      </w:r>
      <w:r>
        <w:rPr>
          <w:rFonts w:hint="default"/>
          <w:lang w:val="en-US" w:eastAsia="zh-CN"/>
        </w:rPr>
        <w:t>EPOLLERR|EPOLLHUP</w:t>
      </w:r>
      <w:r>
        <w:rPr>
          <w:rFonts w:hint="eastAsia"/>
          <w:lang w:val="en-US" w:eastAsia="zh-CN"/>
        </w:rPr>
        <w:t>事件岂不是得不到处理了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1"/>
          <w:szCs w:val="21"/>
          <w:highlight w:val="white"/>
          <w:lang w:val="en-US" w:eastAsia="zh-CN"/>
        </w:rPr>
        <w:t>2025年5月15日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新宋体" w:hAnsi="新宋体" w:eastAsia="新宋体"/>
          <w:color w:val="000000"/>
          <w:sz w:val="18"/>
          <w:szCs w:val="18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8"/>
          <w:szCs w:val="18"/>
          <w:highlight w:val="white"/>
          <w:lang w:val="en-US" w:eastAsia="zh-CN"/>
        </w:rPr>
        <w:t>ngx_comm.h</w:t>
      </w:r>
      <w:bookmarkStart w:id="0" w:name="_GoBack"/>
      <w:bookmarkEnd w:id="0"/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008000"/>
          <w:sz w:val="18"/>
          <w:szCs w:val="18"/>
          <w:highlight w:val="white"/>
        </w:rPr>
        <w:t>//#define _DATA_BUFSIZE_       20  //因为我要先收包头，我希望定义一个固定大小的数组专门用来收包头，这个数字大小一定要 &gt;sizeof(COMM_PKG_HEADER) ,所以我这里定义为20绰绰有余；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                                  </w:t>
      </w:r>
      <w:r>
        <w:rPr>
          <w:rFonts w:hint="eastAsia" w:ascii="新宋体" w:hAnsi="新宋体" w:eastAsia="新宋体"/>
          <w:color w:val="008000"/>
          <w:sz w:val="18"/>
          <w:szCs w:val="18"/>
          <w:highlight w:val="white"/>
        </w:rPr>
        <w:t>//如果日后COMM_PKG_HEADER大小变动，这个数字也要做出调整以满足 &gt;sizeof(COMM_PKG_HEADER) 的要求</w:t>
      </w:r>
    </w:p>
    <w:p>
      <w:pP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808080"/>
          <w:sz w:val="18"/>
          <w:szCs w:val="18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8"/>
          <w:szCs w:val="18"/>
          <w:highlight w:val="white"/>
        </w:rPr>
        <w:t>_DATA_BUFSIZE_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       </w:t>
      </w:r>
      <w:r>
        <w:rPr>
          <w:rFonts w:hint="eastAsia" w:ascii="新宋体" w:hAnsi="新宋体" w:eastAsia="新宋体"/>
          <w:color w:val="0000FF"/>
          <w:sz w:val="18"/>
          <w:szCs w:val="18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8"/>
          <w:szCs w:val="18"/>
          <w:highlight w:val="white"/>
        </w:rPr>
        <w:t>MSGHEAD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>)</w:t>
      </w:r>
    </w:p>
    <w:p>
      <w:pP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0000FF"/>
          <w:sz w:val="18"/>
          <w:szCs w:val="18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8"/>
          <w:szCs w:val="18"/>
          <w:highlight w:val="white"/>
        </w:rPr>
        <w:t>CSocekt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>::ngx_wait_request_handler_proc_p1(</w:t>
      </w:r>
      <w:r>
        <w:rPr>
          <w:rFonts w:hint="eastAsia" w:ascii="新宋体" w:hAnsi="新宋体" w:eastAsia="新宋体"/>
          <w:color w:val="2B91AF"/>
          <w:sz w:val="18"/>
          <w:szCs w:val="18"/>
          <w:highlight w:val="white"/>
        </w:rPr>
        <w:t>lpngx_connection_t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8"/>
          <w:szCs w:val="18"/>
          <w:highlight w:val="white"/>
        </w:rPr>
        <w:t>pConn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008000"/>
          <w:sz w:val="18"/>
          <w:szCs w:val="18"/>
          <w:highlight w:val="white"/>
        </w:rPr>
        <w:t>//LPCOMM_PKG_HEADER pPkgHeader;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008000"/>
          <w:sz w:val="18"/>
          <w:szCs w:val="18"/>
          <w:highlight w:val="white"/>
        </w:rPr>
        <w:t>//pPkgHeader = (LPCOMM_PKG_HEADER)pConn-&gt;dataHeadInfo; //正好收到包头时，包头信息肯定是在dataHeadInfo里；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2B91AF"/>
          <w:sz w:val="18"/>
          <w:szCs w:val="18"/>
          <w:highlight w:val="white"/>
        </w:rPr>
        <w:t>PMSGHEAD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 pPkgHeader;</w:t>
      </w:r>
    </w:p>
    <w:p>
      <w:pP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</w:pP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>pPkgHeader = (</w:t>
      </w:r>
      <w:r>
        <w:rPr>
          <w:rFonts w:hint="eastAsia" w:ascii="新宋体" w:hAnsi="新宋体" w:eastAsia="新宋体"/>
          <w:color w:val="2B91AF"/>
          <w:sz w:val="18"/>
          <w:szCs w:val="18"/>
          <w:highlight w:val="white"/>
        </w:rPr>
        <w:t>PMSGHEAD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>)</w:t>
      </w:r>
      <w:r>
        <w:rPr>
          <w:rFonts w:hint="eastAsia" w:ascii="新宋体" w:hAnsi="新宋体" w:eastAsia="新宋体"/>
          <w:color w:val="808080"/>
          <w:sz w:val="18"/>
          <w:szCs w:val="18"/>
          <w:highlight w:val="white"/>
        </w:rPr>
        <w:t>pConn</w:t>
      </w:r>
      <w:r>
        <w:rPr>
          <w:rFonts w:hint="eastAsia" w:ascii="新宋体" w:hAnsi="新宋体" w:eastAsia="新宋体"/>
          <w:color w:val="000000"/>
          <w:sz w:val="18"/>
          <w:szCs w:val="18"/>
          <w:highlight w:val="white"/>
        </w:rPr>
        <w:t xml:space="preserve">-&gt;dataHeadInfo; </w:t>
      </w:r>
      <w:r>
        <w:rPr>
          <w:rFonts w:hint="eastAsia" w:ascii="新宋体" w:hAnsi="新宋体" w:eastAsia="新宋体"/>
          <w:color w:val="008000"/>
          <w:sz w:val="18"/>
          <w:szCs w:val="18"/>
          <w:highlight w:val="white"/>
        </w:rPr>
        <w:t>//正好收到包头时，包头信息肯定是在dataHeadInfo里；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A69EF"/>
    <w:multiLevelType w:val="singleLevel"/>
    <w:tmpl w:val="E80A69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181E9E8"/>
    <w:multiLevelType w:val="singleLevel"/>
    <w:tmpl w:val="4181E9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4569D"/>
    <w:rsid w:val="09BE6ABD"/>
    <w:rsid w:val="1114497B"/>
    <w:rsid w:val="25BB47C2"/>
    <w:rsid w:val="2AEE5FE0"/>
    <w:rsid w:val="32A005E5"/>
    <w:rsid w:val="362242B6"/>
    <w:rsid w:val="44C6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2025-05-02T01:33:00Z</dcterms:created>
  <dc:creator>Administrator</dc:creator>
  <cp:lastModifiedBy>Codeman</cp:lastModifiedBy>
  <dcterms:modified xsi:type="dcterms:W3CDTF">2025-05-15T03:36:29Z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9E9BE1CFB95042CD8850ED4C244BB92E</vt:lpwstr>
  </property>
</Properties>
</file>