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COMPROVAÇÃO DE COBERTURA</w:t>
      </w:r>
    </w:p>
    <w:p>
      <w:pPr>
        <w:jc w:val="center"/>
      </w:pPr>
      <w:r>
        <w:rPr>
          <w:b/>
          <w:sz w:val="24"/>
        </w:rPr>
        <w:t>Roteiros de visitas — 15 de agosto de 2026</w:t>
      </w:r>
    </w:p>
    <w:p/>
    <w:p>
      <w:r>
        <w:rPr>
          <w:b/>
        </w:rPr>
        <w:t xml:space="preserve">Finalidade. </w:t>
      </w:r>
      <w:r>
        <w:t>Apresentar a conferência objetiva da cobertura dos registros ativos das comuns Vila das Chácaras e Jardim Ruth nos sete roteiros dos Grupos A a G.</w:t>
      </w:r>
    </w:p>
    <w:p>
      <w:pPr>
        <w:pStyle w:val="Heading1"/>
      </w:pPr>
      <w:r>
        <w:t>Resultado consolidado</w:t>
      </w:r>
    </w:p>
    <w:p>
      <w:r>
        <w:rPr>
          <w:b/>
        </w:rPr>
        <w:t xml:space="preserve">COBERTURA INTEGRAL CONFIRMADA. </w:t>
      </w:r>
      <w:r>
        <w:t>Os 93 registros ativos, distribuídos em 65 endereços familiares, estão contemplados nos roteiros examinados. Não foi identificado registro ativo ou endereço familiar ausente.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194470"/>
          </w:tcPr>
          <w:p>
            <w:r>
              <w:rPr>
                <w:b/>
                <w:color w:val="FFFFFF"/>
              </w:rPr>
              <w:t>Comum</w:t>
            </w:r>
          </w:p>
        </w:tc>
        <w:tc>
          <w:tcPr>
            <w:tcW w:type="dxa" w:w="1994"/>
            <w:vAlign w:val="center"/>
            <w:shd w:fill="194470"/>
          </w:tcPr>
          <w:p>
            <w:r>
              <w:rPr>
                <w:b/>
                <w:color w:val="FFFFFF"/>
              </w:rPr>
              <w:t>Registros ativos</w:t>
            </w:r>
          </w:p>
        </w:tc>
        <w:tc>
          <w:tcPr>
            <w:tcW w:type="dxa" w:w="1994"/>
            <w:vAlign w:val="center"/>
            <w:shd w:fill="194470"/>
          </w:tcPr>
          <w:p>
            <w:r>
              <w:rPr>
                <w:b/>
                <w:color w:val="FFFFFF"/>
              </w:rPr>
              <w:t>Endereços</w:t>
            </w:r>
          </w:p>
        </w:tc>
        <w:tc>
          <w:tcPr>
            <w:tcW w:type="dxa" w:w="1994"/>
            <w:vAlign w:val="center"/>
            <w:shd w:fill="194470"/>
          </w:tcPr>
          <w:p>
            <w:r>
              <w:rPr>
                <w:b/>
                <w:color w:val="FFFFFF"/>
              </w:rPr>
              <w:t>Visitas no roteiro</w:t>
            </w:r>
          </w:p>
        </w:tc>
        <w:tc>
          <w:tcPr>
            <w:tcW w:type="dxa" w:w="1994"/>
            <w:vAlign w:val="center"/>
            <w:shd w:fill="194470"/>
          </w:tcPr>
          <w:p>
            <w:r>
              <w:rPr>
                <w:b/>
                <w:color w:val="FFFFFF"/>
              </w:rPr>
              <w:t>Cobertura</w:t>
            </w:r>
          </w:p>
        </w:tc>
      </w:tr>
      <w:tr>
        <w:tc>
          <w:tcPr>
            <w:tcW w:type="dxa" w:w="1994"/>
            <w:vAlign w:val="center"/>
          </w:tcPr>
          <w:p>
            <w:r>
              <w:t>Vila das Chácaras</w:t>
            </w:r>
          </w:p>
        </w:tc>
        <w:tc>
          <w:tcPr>
            <w:tcW w:type="dxa" w:w="1994"/>
            <w:vAlign w:val="center"/>
          </w:tcPr>
          <w:p>
            <w:r>
              <w:t>46</w:t>
            </w:r>
          </w:p>
        </w:tc>
        <w:tc>
          <w:tcPr>
            <w:tcW w:type="dxa" w:w="1994"/>
            <w:vAlign w:val="center"/>
          </w:tcPr>
          <w:p>
            <w:r>
              <w:t>28</w:t>
            </w:r>
          </w:p>
        </w:tc>
        <w:tc>
          <w:tcPr>
            <w:tcW w:type="dxa" w:w="1994"/>
            <w:vAlign w:val="center"/>
          </w:tcPr>
          <w:p>
            <w:r>
              <w:t>28</w:t>
            </w:r>
          </w:p>
        </w:tc>
        <w:tc>
          <w:tcPr>
            <w:tcW w:type="dxa" w:w="1994"/>
            <w:vAlign w:val="center"/>
          </w:tcPr>
          <w:p>
            <w:r>
              <w:t>100%</w:t>
            </w:r>
          </w:p>
        </w:tc>
      </w:tr>
      <w:tr>
        <w:tc>
          <w:tcPr>
            <w:tcW w:type="dxa" w:w="1994"/>
            <w:vAlign w:val="center"/>
          </w:tcPr>
          <w:p>
            <w:r>
              <w:t>Jardim Ruth</w:t>
            </w:r>
          </w:p>
        </w:tc>
        <w:tc>
          <w:tcPr>
            <w:tcW w:type="dxa" w:w="1994"/>
            <w:vAlign w:val="center"/>
          </w:tcPr>
          <w:p>
            <w:r>
              <w:t>47</w:t>
            </w:r>
          </w:p>
        </w:tc>
        <w:tc>
          <w:tcPr>
            <w:tcW w:type="dxa" w:w="1994"/>
            <w:vAlign w:val="center"/>
          </w:tcPr>
          <w:p>
            <w:r>
              <w:t>37</w:t>
            </w:r>
          </w:p>
        </w:tc>
        <w:tc>
          <w:tcPr>
            <w:tcW w:type="dxa" w:w="1994"/>
            <w:vAlign w:val="center"/>
          </w:tcPr>
          <w:p>
            <w:r>
              <w:t>37</w:t>
            </w:r>
          </w:p>
        </w:tc>
        <w:tc>
          <w:tcPr>
            <w:tcW w:type="dxa" w:w="1994"/>
            <w:vAlign w:val="center"/>
          </w:tcPr>
          <w:p>
            <w:r>
              <w:t>100%</w:t>
            </w:r>
          </w:p>
        </w:tc>
      </w:tr>
      <w:tr>
        <w:tc>
          <w:tcPr>
            <w:tcW w:type="dxa" w:w="1994"/>
            <w:vAlign w:val="center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93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65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65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100%</w:t>
            </w:r>
          </w:p>
        </w:tc>
      </w:tr>
    </w:tbl>
    <w:p>
      <w:pPr>
        <w:pStyle w:val="Heading1"/>
      </w:pPr>
      <w:r>
        <w:t>Distribuição comprovada por grupo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Comum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Endereços visitados</w:t>
            </w:r>
          </w:p>
        </w:tc>
      </w:tr>
      <w:tr>
        <w:tc>
          <w:tcPr>
            <w:tcW w:type="dxa" w:w="3324"/>
          </w:tcPr>
          <w:p>
            <w:r>
              <w:t>Vila das Chácaras</w:t>
            </w:r>
          </w:p>
        </w:tc>
        <w:tc>
          <w:tcPr>
            <w:tcW w:type="dxa" w:w="3324"/>
          </w:tcPr>
          <w:p>
            <w:r>
              <w:t>Grupo A</w:t>
            </w:r>
          </w:p>
        </w:tc>
        <w:tc>
          <w:tcPr>
            <w:tcW w:type="dxa" w:w="3324"/>
          </w:tcPr>
          <w:p>
            <w:r>
              <w:t>10</w:t>
            </w:r>
          </w:p>
        </w:tc>
      </w:tr>
      <w:tr>
        <w:tc>
          <w:tcPr>
            <w:tcW w:type="dxa" w:w="3324"/>
          </w:tcPr>
          <w:p>
            <w:r>
              <w:t>Vila das Chácaras</w:t>
            </w:r>
          </w:p>
        </w:tc>
        <w:tc>
          <w:tcPr>
            <w:tcW w:type="dxa" w:w="3324"/>
          </w:tcPr>
          <w:p>
            <w:r>
              <w:t>Grupo B</w:t>
            </w:r>
          </w:p>
        </w:tc>
        <w:tc>
          <w:tcPr>
            <w:tcW w:type="dxa" w:w="3324"/>
          </w:tcPr>
          <w:p>
            <w:r>
              <w:t>10</w:t>
            </w:r>
          </w:p>
        </w:tc>
      </w:tr>
      <w:tr>
        <w:tc>
          <w:tcPr>
            <w:tcW w:type="dxa" w:w="3324"/>
          </w:tcPr>
          <w:p>
            <w:r>
              <w:t>Vila das Chácaras</w:t>
            </w:r>
          </w:p>
        </w:tc>
        <w:tc>
          <w:tcPr>
            <w:tcW w:type="dxa" w:w="3324"/>
          </w:tcPr>
          <w:p>
            <w:r>
              <w:t>Grupo C</w:t>
            </w:r>
          </w:p>
        </w:tc>
        <w:tc>
          <w:tcPr>
            <w:tcW w:type="dxa" w:w="3324"/>
          </w:tcPr>
          <w:p>
            <w:r>
              <w:t>8</w:t>
            </w:r>
          </w:p>
        </w:tc>
      </w:tr>
      <w:tr>
        <w:tc>
          <w:tcPr>
            <w:tcW w:type="dxa" w:w="3324"/>
          </w:tcPr>
          <w:p>
            <w:r>
              <w:t>Jardim Ruth</w:t>
            </w:r>
          </w:p>
        </w:tc>
        <w:tc>
          <w:tcPr>
            <w:tcW w:type="dxa" w:w="3324"/>
          </w:tcPr>
          <w:p>
            <w:r>
              <w:t>Grupo D</w:t>
            </w:r>
          </w:p>
        </w:tc>
        <w:tc>
          <w:tcPr>
            <w:tcW w:type="dxa" w:w="3324"/>
          </w:tcPr>
          <w:p>
            <w:r>
              <w:t>10</w:t>
            </w:r>
          </w:p>
        </w:tc>
      </w:tr>
      <w:tr>
        <w:tc>
          <w:tcPr>
            <w:tcW w:type="dxa" w:w="3324"/>
          </w:tcPr>
          <w:p>
            <w:r>
              <w:t>Jardim Ruth</w:t>
            </w:r>
          </w:p>
        </w:tc>
        <w:tc>
          <w:tcPr>
            <w:tcW w:type="dxa" w:w="3324"/>
          </w:tcPr>
          <w:p>
            <w:r>
              <w:t>Grupo E</w:t>
            </w:r>
          </w:p>
        </w:tc>
        <w:tc>
          <w:tcPr>
            <w:tcW w:type="dxa" w:w="3324"/>
          </w:tcPr>
          <w:p>
            <w:r>
              <w:t>10</w:t>
            </w:r>
          </w:p>
        </w:tc>
      </w:tr>
      <w:tr>
        <w:tc>
          <w:tcPr>
            <w:tcW w:type="dxa" w:w="3324"/>
          </w:tcPr>
          <w:p>
            <w:r>
              <w:t>Jardim Ruth</w:t>
            </w:r>
          </w:p>
        </w:tc>
        <w:tc>
          <w:tcPr>
            <w:tcW w:type="dxa" w:w="3324"/>
          </w:tcPr>
          <w:p>
            <w:r>
              <w:t>Grupo F</w:t>
            </w:r>
          </w:p>
        </w:tc>
        <w:tc>
          <w:tcPr>
            <w:tcW w:type="dxa" w:w="3324"/>
          </w:tcPr>
          <w:p>
            <w:r>
              <w:t>10</w:t>
            </w:r>
          </w:p>
        </w:tc>
      </w:tr>
      <w:tr>
        <w:tc>
          <w:tcPr>
            <w:tcW w:type="dxa" w:w="3324"/>
          </w:tcPr>
          <w:p>
            <w:r>
              <w:t>Jardim Ruth</w:t>
            </w:r>
          </w:p>
        </w:tc>
        <w:tc>
          <w:tcPr>
            <w:tcW w:type="dxa" w:w="3324"/>
          </w:tcPr>
          <w:p>
            <w:r>
              <w:t>Grupo G</w:t>
            </w:r>
          </w:p>
        </w:tc>
        <w:tc>
          <w:tcPr>
            <w:tcW w:type="dxa" w:w="3324"/>
          </w:tcPr>
          <w:p>
            <w:r>
              <w:t>7</w:t>
            </w:r>
          </w:p>
        </w:tc>
      </w:tr>
    </w:tbl>
    <w:p>
      <w:pPr>
        <w:pStyle w:val="Heading1"/>
      </w:pPr>
      <w:r>
        <w:t>Conferências realizadas</w:t>
      </w:r>
    </w:p>
    <w:p>
      <w:pPr>
        <w:pStyle w:val="ListBullet"/>
      </w:pPr>
      <w:r>
        <w:t>Comparação dos registros ativos das duas comuns com os agendamentos de 15/08/2026.</w:t>
      </w:r>
    </w:p>
    <w:p>
      <w:pPr>
        <w:pStyle w:val="ListBullet"/>
      </w:pPr>
      <w:r>
        <w:t>Agrupamento operacional por endereço, conforme a regra atual dos roteiros.</w:t>
      </w:r>
    </w:p>
    <w:p>
      <w:pPr>
        <w:pStyle w:val="ListBullet"/>
      </w:pPr>
      <w:r>
        <w:t>Verificação dos 65 endereços familiares contra as 65 paradas impressas.</w:t>
      </w:r>
    </w:p>
    <w:p>
      <w:pPr>
        <w:pStyle w:val="ListBullet"/>
      </w:pPr>
      <w:r>
        <w:t>Verificação nominal dos 93 registros ativos nos títulos das visitas.</w:t>
      </w:r>
    </w:p>
    <w:p>
      <w:pPr>
        <w:pStyle w:val="ListBullet"/>
      </w:pPr>
      <w:r>
        <w:t>Conferência da distribuição dos endereços entre os Grupos A, B, C, D, E, F e G.</w:t>
      </w:r>
    </w:p>
    <w:p>
      <w:pPr>
        <w:pStyle w:val="Heading1"/>
      </w:pPr>
      <w:r>
        <w:t>Declaração de resultado</w:t>
      </w:r>
    </w:p>
    <w:p>
      <w:r>
        <w:rPr>
          <w:b/>
        </w:rPr>
        <w:t>Com base na conferência dos sete documentos e dos registros correspondentes, confirma-se que todos os registros ativos das comuns Vila das Chácaras e Jardim Ruth foram contemplados nos roteiros de visita de 15/08/2026, totalizando 93 pessoas e 65 endereços familiares, com cobertura apurada de 100%.</w:t>
      </w:r>
    </w:p>
    <w:p/>
    <w:p>
      <w:pPr>
        <w:jc w:val="center"/>
      </w:pPr>
      <w:r>
        <w:rPr>
          <w:color w:val="646E78"/>
          <w:sz w:val="18"/>
        </w:rPr>
        <w:t>Sistema de Visitas — Regional Itapevi</w:t>
        <w:br/>
        <w:t>Relatório emitido em 17/08/2026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9447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