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>Análise de Precificação — BolsaTrader</w:t>
      </w:r>
    </w:p>
    <w:p>
      <w:pPr>
        <w:spacing w:after="360"/>
      </w:pPr>
      <w:r>
        <w:rPr>
          <w:i/>
          <w:iCs/>
          <w:color w:val="555555"/>
          <w:sz w:val="22"/>
          <w:szCs w:val="22"/>
        </w:rPr>
        <w:t>Documento de referência para decisão de venda, licenciamento ou operação como SaaS — revisão de 12/10/2026 (versão anterior: 28/09/2026), com base no estado atual do sistema e em preços de mercado pesquisados nesta data.</w:t>
      </w:r>
    </w:p>
    <w:p>
      <w:pPr>
        <w:pStyle w:val="Heading1"/>
        <w:spacing w:after="160" w:before="320"/>
      </w:pPr>
      <w:r>
        <w:t>1. Resumo executivo</w:t>
      </w:r>
    </w:p>
    <w:p>
      <w:pPr>
        <w:spacing w:after="200"/>
      </w:pPr>
      <w:r>
        <w:t>O preço continua dependendo, antes de tudo, do tipo de negócio: vender a propriedade do software, licenciar o uso (inclusive em white-label) ou operar como assinatura para o usuário final. Desde a análise anterior, o sistema ganhou segurança, infraestrutura de produção e ferramentas de apoio à decisão — o que sustenta preços maiores na venda e no licenciamento. Já a pesquisa de mercado puxa para baixo o teto da assinatura direta, e a medição do robô consultor muda o que deve ser usado como argumento de venda. Em resumo: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</w:rPr>
        <w:t>Venda total da IP:</w:t>
      </w:r>
      <w:r>
        <w:rPr>
          <w:b w:val="0"/>
        </w:rPr>
        <w:t xml:space="preserve"> de R$ 30–150 mil para R$ 40–160 mil (fechamento realista: R$ 50–90 mil).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</w:rPr>
        <w:t>Licenciamento / white-label:</w:t>
      </w:r>
      <w:r>
        <w:rPr>
          <w:b w:val="0"/>
        </w:rPr>
        <w:t xml:space="preserve"> de R$ 5–20 mil de setup + R$ 300–1.500/mês para R$ 8–25 mil de setup + R$ 500–1.800/mês por instalação.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</w:rPr>
        <w:t>SaaS direto:</w:t>
      </w:r>
      <w:r>
        <w:rPr>
          <w:b w:val="0"/>
        </w:rPr>
        <w:t xml:space="preserve"> de R$ 29–99/mês para R$ 29–59/mês — e só depois de fechar as lacunas da seção 6.</w:t>
      </w:r>
    </w:p>
    <w:p>
      <w:pPr>
        <w:pStyle w:val="Heading1"/>
        <w:spacing w:after="160" w:before="320"/>
      </w:pPr>
      <w:r>
        <w:t>2. O que mudou desde a análise anterior</w:t>
      </w:r>
    </w:p>
    <w:p>
      <w:pPr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326"/>
      </w:tblGrid>
      <w:tr>
        <w:trPr>
          <w:tblHeader/>
        </w:trPr>
        <w:tc>
          <w:tcPr>
            <w:tcW w:type="dxa" w:w="2600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type="dxa" w:w="3100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28/09/2026</w:t>
            </w:r>
          </w:p>
        </w:tc>
        <w:tc>
          <w:tcPr>
            <w:tcW w:type="dxa" w:w="3326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12/10/2026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Código (Python, HTML, JS, CSS, sem migrações)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31,9 mil linhas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37,4 mil linhas (+17%)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Testes automatizados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457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586, rodando a cada push no GitHub (integração contínua)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Segurança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Básica (isolamento de dados por conta)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Perfis de acesso, credenciais da corretora e token do Telegram criptografados, bloqueio de login contra força bruta, recuperação de senha por e-mail, proteção CSRF em todas as ações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Infraestrutura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Docker simples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Serviços separados (site, cotações, notícias, backup diário), container sem root, verificação de saúde para monitoramento, logs com rotação, backup com rotação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Apoio à decisão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Robô consultor e scanner técnico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+ Qualidade das Empresas (nota de 0 a 10 pelos balanços), Calculadora de risco na compra, backtesting comparado com a referência, previsões dos analistas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Uso diário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—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Comando de voz, registros de cotação com gráfico, destaque de notícias por ativo, integração com Home Broker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Documentação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Manuais redigidos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Manuais operacional e comercial e apresentação atualizados nesta revisão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Esforço para reconstruir do zero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400–800 h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500–950 h de um desenvolvedor sênior full-stack</w:t>
            </w:r>
          </w:p>
        </w:tc>
      </w:tr>
    </w:tbl>
    <w:p>
      <w:pPr>
        <w:spacing w:before="240"/>
      </w:pPr>
    </w:p>
    <w:p>
      <w:pPr>
        <w:pStyle w:val="Heading1"/>
        <w:spacing w:after="160" w:before="320"/>
      </w:pPr>
      <w:r>
        <w:t>3. Referências de mercado (preços pesquisados em 12/10/2026)</w:t>
      </w:r>
    </w:p>
    <w:p>
      <w:pPr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326"/>
      </w:tblGrid>
      <w:tr>
        <w:trPr>
          <w:tblHeader/>
        </w:trPr>
        <w:tc>
          <w:tcPr>
            <w:tcW w:type="dxa" w:w="2600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type="dxa" w:w="3100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Preço</w:t>
            </w:r>
          </w:p>
        </w:tc>
        <w:tc>
          <w:tcPr>
            <w:tcW w:type="dxa" w:w="3326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Comparação com o BolsaTrader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Kinvo Premium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R$ 179,90/ano (≈ R$ 15/mês); mensal descontinuado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Consolidador de carteira multiativos, com integração automática à B3. Mais barato e com mais automação de importação; sem robô, scanner nem calculadora de risco.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TradeMap Plus / Pro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R$ 29,90/mês e R$ 49,90/mês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Dados de mercado e carteira em aplicativo maduro. É a referência de preço mais próxima do BolsaTrader para pessoa física.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Nelogica — módulo Plano de Trade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R$ 79,90/mês (R$ 39,95/mês no anual)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Só o planejamento de operações — mostra que gestão de risco, sozinha, já é vendável.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Nelogica Profit (One a Ultra)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R$ 140 a R$ 465/mês (plano de 12 meses)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Plataforma de trader profissional com dados em tempo real e envio de ordens: outra categoria, não é concorrente direto.</w:t>
            </w:r>
          </w:p>
        </w:tc>
      </w:tr>
    </w:tbl>
    <w:p>
      <w:pPr>
        <w:spacing w:before="240"/>
      </w:pPr>
    </w:p>
    <w:p>
      <w:pPr>
        <w:spacing w:after="200"/>
      </w:pPr>
      <w:r>
        <w:t>O BolsaTrader se posiciona entre o TradeMap Pro e o módulo de Plano de Trade: entrega menos dados de mercado (cotações a cada hora, não em tempo real, e sem importação automática da B3), mas mais apoio à decisão de compra (nota de qualidade, calculadora de risco, scanner, robô e análise por IA).</w:t>
      </w:r>
    </w:p>
    <w:p>
      <w:pPr>
        <w:pStyle w:val="Heading1"/>
        <w:spacing w:after="160" w:before="320"/>
      </w:pPr>
      <w:r>
        <w:t>4. Custos para operar</w:t>
      </w:r>
    </w:p>
    <w:p>
      <w:pPr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326"/>
      </w:tblGrid>
      <w:tr>
        <w:trPr>
          <w:tblHeader/>
        </w:trPr>
        <w:tc>
          <w:tcPr>
            <w:tcW w:type="dxa" w:w="2600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type="dxa" w:w="3100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Custo mensal</w:t>
            </w:r>
          </w:p>
        </w:tc>
        <w:tc>
          <w:tcPr>
            <w:tcW w:type="dxa" w:w="3326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API de cotações brapi.dev — Startup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R$ 119,99 (R$ 1.199,90/ano)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150 mil requisições/mês e 1 ano de histórico; é o plano usado hoje. Comporta algumas centenas de usuários ativos, porque a atualização automática agrupa os tickers de todos os usuários.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API de cotações brapi.dev — Pro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R$ 139,99 (R$ 1.399,90/ano)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500 mil requisições/mês, histórico completo e o módulo de indicadores financeiros prontos.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Servidor (VPS) com HTTPS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≈ R$ 60–150 (estimativa)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Uma VPS pequena roda a instalação Docker inteira; o certificado HTTPS (Let's Encrypt) é gratuito.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IA da Análise de Mercado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≈ R$ 0 a poucas dezenas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Opcional; provedores com camada gratuita (Groq, OpenRouter) atendem o volume de um botão sob demanda.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E-mail transacional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≈ R$ 0–50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Só para "Esqueci minha senha"; camadas gratuitas costumam bastar.</w:t>
            </w:r>
          </w:p>
        </w:tc>
      </w:tr>
    </w:tbl>
    <w:p>
      <w:pPr>
        <w:spacing w:before="240"/>
      </w:pPr>
    </w:p>
    <w:p>
      <w:pPr>
        <w:spacing w:after="200"/>
      </w:pPr>
      <w:r>
        <w:t>Custo fixo de uma instalação: cerca de R$ 200–300/mês, mais o tempo de suporte. É o piso para qualquer mensalidade de licenciamento e o ponto de equilíbrio de um SaaS (cerca de 10 assinantes no plano de entrada).</w:t>
      </w:r>
    </w:p>
    <w:p>
      <w:pPr>
        <w:pStyle w:val="Heading1"/>
        <w:spacing w:after="160" w:before="320"/>
      </w:pPr>
      <w:r>
        <w:t>5. Modelos de venda e faixas de preço revisadas</w:t>
      </w:r>
    </w:p>
    <w:p>
      <w:pPr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326"/>
      </w:tblGrid>
      <w:tr>
        <w:trPr>
          <w:tblHeader/>
        </w:trPr>
        <w:tc>
          <w:tcPr>
            <w:tcW w:type="dxa" w:w="2600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Modelo de venda</w:t>
            </w:r>
          </w:p>
        </w:tc>
        <w:tc>
          <w:tcPr>
            <w:tcW w:type="dxa" w:w="3100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Faixa de preço (antes → agora)</w:t>
            </w:r>
          </w:p>
        </w:tc>
        <w:tc>
          <w:tcPr>
            <w:tcW w:type="dxa" w:w="3326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Por que mudou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Venda total da IP (entrega tudo, não fica com nada)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R$ 30–150 mil → R$ 40–160 mil; fechamento realista R$ 50–90 mil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Sem receita, o preço continua ancorado no custo de reconstrução (500–950 h). Segurança, infraestrutura, CI e testes reduzem o risco da diligência técnica e o trabalho que o comprador teria antes de colocar em produção.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Licenciamento / white-label (você mantém a IP)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R$ 5–20 mil de setup + R$ 300–1.500/mês → R$ 8–25 mil de setup + R$ 500–1.800/mês por instalação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A mensalidade precisa cobrir a API e o servidor (R$ 200–300/mês) mais suporte; se o cliente contratar a própria API e o servidor, R$ 300–1.200/mês. Perfis de acesso, backup e monitoramento deixam o produto apresentável a escritórios e assessores. A Calculadora de risco e a nota de qualidade são argumentos diretos para esse público.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SaaS direto para o investidor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R$ 29–99/mês → R$ 29–59/mês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Kinvo (≈ R$ 15/mês) e TradeMap (R$ 29,90–49,90) fixam o teto. Sugestão: Essencial R$ 29,90/mês (carteira, alertas, conta corrente, cripto, notícias) e Pro R$ 49,90/mês (robô, scanner, Qualidade das Empresas, Calculadora de risco, IA), com anual de R$ 299 e R$ 499. Exige antes as melhorias da seção 6.</w:t>
            </w:r>
          </w:p>
        </w:tc>
      </w:tr>
    </w:tbl>
    <w:p>
      <w:pPr>
        <w:spacing w:before="240"/>
      </w:pPr>
    </w:p>
    <w:p>
      <w:pPr>
        <w:pStyle w:val="Heading1"/>
        <w:spacing w:after="160" w:before="320"/>
      </w:pPr>
      <w:r>
        <w:t>6. Prontidão para cobrar como SaaS</w:t>
      </w:r>
    </w:p>
    <w:p>
      <w:pPr>
        <w:spacing w:after="200"/>
      </w:pPr>
      <w:r>
        <w:t>O sistema está pronto para instalações dedicadas (licenciamento). Para cobrar diretamente de muitos investidores na mesma instalação, faltam:</w:t>
      </w:r>
    </w:p>
    <w:p>
      <w:pPr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326"/>
      </w:tblGrid>
      <w:tr>
        <w:trPr>
          <w:tblHeader/>
        </w:trPr>
        <w:tc>
          <w:tcPr>
            <w:tcW w:type="dxa" w:w="2600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type="dxa" w:w="3100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Situação hoje</w:t>
            </w:r>
          </w:p>
        </w:tc>
        <w:tc>
          <w:tcPr>
            <w:tcW w:type="dxa" w:w="3326"/>
            <w:shd w:fill="0D15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Esforço estimado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Cobrança e planos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Não existe (sem gateway de pagamento, planos nem bloqueio por inadimplência)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30–50 h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LGPD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Sem termos de uso, política de privacidade nem exportação/exclusão dos dados de um único usuário (a limpeza atual apaga os dados de todos)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20–40 h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Cadastro aberto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Desligado por padrão; ligado, não confirma o e-mail do usuário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8–12 h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Marca configurável (white-label)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Nome e logotipo BOLSATRADER fixos no código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15–25 h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Licença dos dados de mercado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Verificar nos termos da brapi.dev se o plano permite exibir os dados a clientes pagantes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Consulta, sem desenvolvimento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>Enquadramento regulatório (CVM)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Avisos de "não é recomendação" presentes; reserva automática do robô merece revisão jurídica antes da venda ao público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>Parecer jurídico</w:t>
            </w:r>
          </w:p>
        </w:tc>
      </w:tr>
    </w:tbl>
    <w:p>
      <w:pPr>
        <w:spacing w:before="240"/>
      </w:pPr>
    </w:p>
    <w:p>
      <w:pPr>
        <w:spacing w:after="200"/>
      </w:pPr>
      <w:r>
        <w:t>Total aproximado: 80–150 horas de desenvolvimento, mais o parecer jurídico.</w:t>
      </w:r>
    </w:p>
    <w:p>
      <w:pPr>
        <w:pStyle w:val="Heading1"/>
        <w:spacing w:after="160" w:before="320"/>
      </w:pPr>
      <w:r>
        <w:t>7. Fatores que reduzem o valor</w:t>
      </w:r>
    </w:p>
    <w:p>
      <w:pPr>
        <w:pStyle w:val="ListParagraph"/>
        <w:numPr>
          <w:ilvl w:val="0"/>
          <w:numId w:val="2"/>
        </w:numPr>
        <w:spacing w:after="100"/>
      </w:pPr>
      <w:r>
        <w:t>Zero receita ou base de usuários comprovada — continua sendo o fator de maior peso.</w:t>
      </w:r>
    </w:p>
    <w:p>
      <w:pPr>
        <w:pStyle w:val="ListParagraph"/>
        <w:numPr>
          <w:ilvl w:val="0"/>
          <w:numId w:val="2"/>
        </w:numPr>
        <w:spacing w:after="100"/>
      </w:pPr>
      <w:r>
        <w:t>O robô consultor não mostrou vantagem estatística: no backtest de 1 ano com 31 ativos e mais de 3.400 sinais de compra, acertou 52,0% contra 51,0% de comprar em qualquer dia (5 pregões) e 53,0% contra 51,6% (20 pregões), ganhando menos por operação no prazo maior. Ele não deve ser vendido como "robô que acerta".</w:t>
      </w:r>
    </w:p>
    <w:p>
      <w:pPr>
        <w:pStyle w:val="ListParagraph"/>
        <w:numPr>
          <w:ilvl w:val="0"/>
          <w:numId w:val="2"/>
        </w:numPr>
        <w:spacing w:after="100"/>
      </w:pPr>
      <w:r>
        <w:t>Dependência da brapi.dev: os indicadores financeiros prontos e o histórico completo só existem no plano Pro, e a licença de uso dos dados precisa ser confirmada para revenda.</w:t>
      </w:r>
    </w:p>
    <w:p>
      <w:pPr>
        <w:pStyle w:val="ListParagraph"/>
        <w:numPr>
          <w:ilvl w:val="0"/>
          <w:numId w:val="2"/>
        </w:numPr>
        <w:spacing w:after="100"/>
      </w:pPr>
      <w:r>
        <w:t>Cotações a cada hora, sem tempo real e sem importação automática das notas ou da B3 — concorrentes como o Kinvo já importam a carteira sozinhos.</w:t>
      </w:r>
    </w:p>
    <w:p>
      <w:pPr>
        <w:pStyle w:val="ListParagraph"/>
        <w:numPr>
          <w:ilvl w:val="0"/>
          <w:numId w:val="2"/>
        </w:numPr>
        <w:spacing w:after="100"/>
      </w:pPr>
      <w:r>
        <w:t>Lacunas de SaaS (seção 6) e dependência de um único desenvolvedor, o que pesa na diligência.</w:t>
      </w:r>
    </w:p>
    <w:p>
      <w:pPr>
        <w:pStyle w:val="Heading1"/>
        <w:spacing w:after="160" w:before="320"/>
      </w:pPr>
      <w:r>
        <w:t>8. Fatores que aumentam o valor</w:t>
      </w:r>
    </w:p>
    <w:p>
      <w:pPr>
        <w:pStyle w:val="ListParagraph"/>
        <w:numPr>
          <w:ilvl w:val="0"/>
          <w:numId w:val="2"/>
        </w:numPr>
        <w:spacing w:after="100"/>
      </w:pPr>
      <w:r>
        <w:t>586 testes automatizados com integração contínua — incomum em projeto solo, reduz o risco técnico percebido.</w:t>
      </w:r>
    </w:p>
    <w:p>
      <w:pPr>
        <w:pStyle w:val="ListParagraph"/>
        <w:numPr>
          <w:ilvl w:val="0"/>
          <w:numId w:val="2"/>
        </w:numPr>
        <w:spacing w:after="100"/>
      </w:pPr>
      <w:r>
        <w:t>Segurança e operação de nível profissional: dados sensíveis criptografados, perfis de acesso, proteção contra força bruta e CSRF, backup e monitoramento prontos.</w:t>
      </w:r>
    </w:p>
    <w:p>
      <w:pPr>
        <w:pStyle w:val="ListParagraph"/>
        <w:numPr>
          <w:ilvl w:val="0"/>
          <w:numId w:val="2"/>
        </w:numPr>
        <w:spacing w:after="100"/>
      </w:pPr>
      <w:r>
        <w:t>Apoio à decisão difícil de encontrar nos concorrentes de preço parecido: nota de qualidade pelos balanços, calculadora de risco e backtesting comparado com a referência.</w:t>
      </w:r>
    </w:p>
    <w:p>
      <w:pPr>
        <w:pStyle w:val="ListParagraph"/>
        <w:numPr>
          <w:ilvl w:val="0"/>
          <w:numId w:val="2"/>
        </w:numPr>
        <w:spacing w:after="100"/>
      </w:pPr>
      <w:r>
        <w:t>Transparência: o próprio sistema mede e mostra se o robô funciona — argumento de credibilidade e de menor risco regulatório.</w:t>
      </w:r>
    </w:p>
    <w:p>
      <w:pPr>
        <w:pStyle w:val="ListParagraph"/>
        <w:numPr>
          <w:ilvl w:val="0"/>
          <w:numId w:val="2"/>
        </w:numPr>
        <w:spacing w:after="100"/>
      </w:pPr>
      <w:r>
        <w:t>Ações da B3 e criptomoedas num produto só, com documentação comercial, operacional e apresentação atualizadas.</w:t>
      </w:r>
    </w:p>
    <w:p>
      <w:pPr>
        <w:pStyle w:val="Heading1"/>
        <w:spacing w:after="160" w:before="320"/>
      </w:pPr>
      <w:r>
        <w:t>9. Recomendação</w:t>
      </w:r>
    </w:p>
    <w:p>
      <w:pPr>
        <w:spacing w:after="200"/>
      </w:pPr>
      <w:r>
        <w:t>A direção da análise anterior continua valendo: o licenciamento/white-label captura mais valor que a venda da IP. Agora há mais base para cobrar no topo das faixas. Na prática: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</w:rPr>
        <w:t>Licenciamento primeiro:</w:t>
      </w:r>
      <w:r>
        <w:rPr>
          <w:b w:val="0"/>
        </w:rPr>
        <w:t xml:space="preserve"> ofereça a assessores e escritórios uma instalação dedicada com âncora de R$ 10–15 mil de setup e R$ 800–1.200/mês. Destaque a Calculadora de risco, a nota de qualidade, a segurança e o backup — não a taxa de acerto do robô.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</w:rPr>
        <w:t>SaaS só depois da seção 6:</w:t>
      </w:r>
      <w:r>
        <w:rPr>
          <w:b w:val="0"/>
        </w:rPr>
        <w:t xml:space="preserve"> invista as 80–150 horas e o parecer jurídico antes de cobrar do público; lance a R$ 29,90 e R$ 49,90.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</w:rPr>
        <w:t>Venda da IP:</w:t>
      </w:r>
      <w:r>
        <w:rPr>
          <w:b w:val="0"/>
        </w:rPr>
        <w:t xml:space="preserve"> só vale diante de uma oferta acima de R$ 90 mil. Três clientes pagantes de licenciamento mudariam a base da negociação, de custo de reconstrução para receita recorrente comprovada.</w:t>
      </w:r>
    </w:p>
    <w:p>
      <w:pPr>
        <w:pStyle w:val="Heading1"/>
        <w:spacing w:after="160" w:before="320"/>
      </w:pPr>
      <w:r>
        <w:t>Fontes dos preços de mercado</w:t>
      </w:r>
    </w:p>
    <w:p>
      <w:pPr>
        <w:pStyle w:val="ListParagraph"/>
        <w:numPr>
          <w:ilvl w:val="0"/>
          <w:numId w:val="2"/>
        </w:numPr>
        <w:spacing w:after="100"/>
      </w:pPr>
      <w:r>
        <w:t>Kinvo — página de planos: consolidador.kinvo.com.br/planos e artigo de suporte sobre o Kinvo Premium.</w:t>
      </w:r>
    </w:p>
    <w:p>
      <w:pPr>
        <w:pStyle w:val="ListParagraph"/>
        <w:numPr>
          <w:ilvl w:val="0"/>
          <w:numId w:val="2"/>
        </w:numPr>
        <w:spacing w:after="100"/>
      </w:pPr>
      <w:r>
        <w:t>TradeMap — página de planos Premium: trademap.com.br/premium.</w:t>
      </w:r>
    </w:p>
    <w:p>
      <w:pPr>
        <w:pStyle w:val="ListParagraph"/>
        <w:numPr>
          <w:ilvl w:val="0"/>
          <w:numId w:val="2"/>
        </w:numPr>
        <w:spacing w:after="100"/>
      </w:pPr>
      <w:r>
        <w:t>Nelogica — NeloStore (store.nelogica.com.br) e módulo Plano de Trade (nelogica.com.br).</w:t>
      </w:r>
    </w:p>
    <w:p>
      <w:pPr>
        <w:pStyle w:val="ListParagraph"/>
        <w:numPr>
          <w:ilvl w:val="0"/>
          <w:numId w:val="2"/>
        </w:numPr>
        <w:spacing w:after="100"/>
      </w:pPr>
      <w:r>
        <w:t>brapi.dev — FAQ sobre desconto na assinatura anual dos planos pagos (brapi.dev/faq).</w:t>
      </w:r>
    </w:p>
    <w:p>
      <w:pPr>
        <w:spacing w:after="200"/>
      </w:pPr>
      <w:r>
        <w:t>Os preços podem mudar sem aviso; confirme no site de cada empresa antes de uma negociação.</w:t>
      </w:r>
    </w:p>
    <w:p>
      <w:pPr>
        <w:pBdr>
          <w:top w:val="single" w:color="CCCCCC" w:sz="6" w:space="8"/>
        </w:pBdr>
        <w:spacing w:before="480"/>
      </w:pPr>
      <w:r>
        <w:rPr>
          <w:i/>
          <w:iCs/>
          <w:color w:val="777777"/>
          <w:sz w:val="18"/>
          <w:szCs w:val="18"/>
        </w:rPr>
        <w:t>Este documento é uma referência de apoio à decisão comercial, baseada no estado do sistema e nos preços de mercado da data indicada — não constitui aconselhamento jurídico, contábil ou de avaliação profissional (valuation). As horas de desenvolvimento e os custos marcados como estimativa são aproximações. Para uma negociação de maior porte, considere apoio jurídico e contábil especializado.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Precificação — BolsaTrader</dc:title>
  <dc:creator>BolsaTrader</dc:creator>
  <cp:lastModifiedBy>Un-named</cp:lastModifiedBy>
  <cp:revision>2</cp:revision>
  <dcterms:created xsi:type="dcterms:W3CDTF">2026-09-28T19:50:48.676Z</dcterms:created>
  <dcterms:modified xsi:type="dcterms:W3CDTF">2026-09-28T19:50:48.677Z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