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Análise de Precificação — BolsaTrader</w:t>
      </w:r>
    </w:p>
    <w:p>
      <w:pPr>
        <w:spacing w:after="360"/>
      </w:pPr>
      <w:r>
        <w:rPr>
          <w:i/>
          <w:iCs/>
          <w:color w:val="555555"/>
          <w:sz w:val="22"/>
          <w:szCs w:val="22"/>
        </w:rPr>
        <w:t xml:space="preserve">Documento de referência para decisão de venda, licenciamento ou operação como SaaS — preparado em 28/09/2026, com base no estado atual do sistema.</w:t>
      </w:r>
    </w:p>
    <w:p>
      <w:pPr>
        <w:pStyle w:val="Heading1"/>
        <w:spacing w:after="160" w:before="320"/>
      </w:pPr>
      <w:r>
        <w:t xml:space="preserve">1. Resumo executivo</w:t>
      </w:r>
    </w:p>
    <w:p>
      <w:pPr>
        <w:spacing w:after="200"/>
      </w:pPr>
      <w:r>
        <w:t xml:space="preserve">O preço certo depende, acima de tudo, do tipo de negócio: vender a propriedade do software de uma vez, licenciar o uso (inclusive em white-label) ou operar como assinatura para o usuário final. Cada caminho aponta para uma faixa de valor bem diferente — não existe um número único “correto” sem essa decisão prévia. Este documento organiza as três faixas mais prováveis e os fatores que empurram o preço para cima ou para baixo em qualquer uma delas.</w:t>
      </w:r>
    </w:p>
    <w:p>
      <w:pPr>
        <w:pStyle w:val="Heading1"/>
        <w:spacing w:after="160" w:before="320"/>
      </w:pPr>
      <w:r>
        <w:t xml:space="preserve">2. Escopo atual do sistema</w:t>
      </w:r>
    </w:p>
    <w:p>
      <w:pPr>
        <w:spacing w:after="200"/>
      </w:pPr>
      <w:r>
        <w:t xml:space="preserve">Sistema Django + PostgreSQL completo e testado (457 testes automatizados passando), cobrindo: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acompanhamento de carteira B3 (compra, venda e reserva, posições consolidadas, conta corrente sincronizada automaticamente);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robô consultor automático (sinais de compra/venda, reserva automática);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Scanner Técnico com sete indicadores (IFR, médias móveis, MACD, volume, suporte/resistência, volatilidade, ATR) e plano de trade sugerido;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Análise de Mercado por IA (resumo diário do pregão e sugestões de ativos, compatível com qualquer provedor no padrão OpenAI);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backtesting do robô, histórico e gráficos, alertas com integração ao WhatsApp (recebimento e envio);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notícias de mercado com fontes configuráveis, TradingView embutido, catálogo de ações da B3;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módulo completo de criptomoedas, espelhando as mesmas funcionalidades das ações (compra, venda, reserva, cotações, relatórios);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exportação em Excel e PDF na maior parte das telas;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aplicativo instalável (PWA), multiusuário com isolamento total de dados entre contas;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manuais comercial e operacional já redigidos, prontos para apoiar uma venda ou onboarding de cliente.</w:t>
      </w:r>
    </w:p>
    <w:p>
      <w:pPr>
        <w:spacing w:after="200"/>
      </w:pPr>
      <w:r>
        <w:t xml:space="preserve">Esse é um escopo grande para um projeto solo: reconstruir do zero levaria, com folga, entre 400 e 800 horas de um desenvolvedor sênior full-stack.</w:t>
      </w:r>
    </w:p>
    <w:p>
      <w:pPr>
        <w:pStyle w:val="Heading1"/>
        <w:spacing w:after="160" w:before="320"/>
      </w:pPr>
      <w:r>
        <w:t xml:space="preserve">3. Modelos de venda e faixas de preço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100"/>
        <w:gridCol w:w="3326"/>
      </w:tblGrid>
      <w:tr>
        <w:trPr>
          <w:tblHeader/>
        </w:trPr>
        <w:tc>
          <w:tcPr>
            <w:tcW w:type="dxa" w:w="2600"/>
            <w:shd w:fill="0D152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Modelo de venda</w:t>
            </w:r>
          </w:p>
        </w:tc>
        <w:tc>
          <w:tcPr>
            <w:tcW w:type="dxa" w:w="3100"/>
            <w:shd w:fill="0D152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Faixa de preço (R$)</w:t>
            </w:r>
          </w:p>
        </w:tc>
        <w:tc>
          <w:tcPr>
            <w:tcW w:type="dxa" w:w="3326"/>
            <w:shd w:fill="0D152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Quando faz sentido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111"/>
                <w:sz w:val="20"/>
                <w:szCs w:val="20"/>
              </w:rPr>
              <w:t xml:space="preserve">Venda total da IP
(entrega tudo, não fica com nada)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R$ 30.000 – R$ 150.000</w:t>
            </w:r>
          </w:p>
        </w:tc>
        <w:tc>
          <w:tcPr>
            <w:tcW w:type="dxa" w:w="33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Comprador quer só “pular” o tempo de desenvolvimento. Sem receita/usuários provados, o preço fica ancorado no custo de reconstrução, não em faturamento futuro.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111"/>
                <w:sz w:val="20"/>
                <w:szCs w:val="20"/>
              </w:rPr>
              <w:t xml:space="preserve">Licenciamento / white-label
(você mantém a IP, cliente paga pra usar/revender)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R$ 5.000–20.000 de setup
+ R$ 300–1.500/mês por cliente</w:t>
            </w:r>
          </w:p>
        </w:tc>
        <w:tc>
          <w:tcPr>
            <w:tcW w:type="dxa" w:w="33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Bate com o público-alvo já indicado no Manual Comercial (assessores, escritórios, revenda). Geralmente rende mais no longo prazo que uma venda única.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111"/>
                <w:sz w:val="20"/>
                <w:szCs w:val="20"/>
              </w:rPr>
              <w:t xml:space="preserve">SaaS direto pro usuário final</w:t>
            </w:r>
          </w:p>
        </w:tc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R$ 29–99 / mês por conta</w:t>
            </w:r>
          </w:p>
        </w:tc>
        <w:tc>
          <w:tcPr>
            <w:tcW w:type="dxa" w:w="33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Se você quer manter e operar o produto, cobrando diretamente do investidor pessoa física.</w:t>
            </w:r>
          </w:p>
        </w:tc>
      </w:tr>
    </w:tbl>
    <w:p>
      <w:pPr>
        <w:spacing w:before="240"/>
      </w:pPr>
    </w:p>
    <w:p>
      <w:pPr>
        <w:pStyle w:val="Heading1"/>
        <w:spacing w:after="160" w:before="320"/>
      </w:pPr>
      <w:r>
        <w:t xml:space="preserve">4. Fatores que reduzem o valor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Zero receita ou base de usuários comprovada ainda — isso pesa mais do que qualquer feature isolada.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Os indicadores técnicos (RSI, MACD, médias móveis etc.) são conhecimento público — o valor está na execução e na integração, não em algoritmo exclusivo/protegível.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Dependência de APIs de terceiros de camada gratuita ou barata (brapi.dev, provedor de IA) — o comprador vai embutir esse custo de escala na diligência.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 “robô consultor” e as sugestões por IA pedem cuidado jurídico (regulação da CVM) se comercializados sem o enquadramento correto de “não é recomendação de investimento” — ponto de atenção em qualquer negociação.</w:t>
      </w:r>
    </w:p>
    <w:p>
      <w:pPr>
        <w:pStyle w:val="Heading1"/>
        <w:spacing w:after="160" w:before="320"/>
      </w:pPr>
      <w:r>
        <w:t xml:space="preserve">5. Fatores que aumentam o valor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Suite de testes automatizados de verdade (457 testes) — incomum em projeto solo, reduz o risco percebido pelo comprador na diligência técnica.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Escopo já cobre ações da B3 e criptomoedas num produto só, sem misturar os dois.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Documentação comercial e operacional já pronta, facilitando revenda, onboarding e apresentação a investidores ou clientes.</w:t>
      </w:r>
    </w:p>
    <w:p>
      <w:pPr>
        <w:pStyle w:val="Heading1"/>
        <w:spacing w:after="160" w:before="320"/>
      </w:pPr>
      <w:r>
        <w:t xml:space="preserve">6. Recomendação</w:t>
      </w:r>
    </w:p>
    <w:p>
      <w:pPr>
        <w:spacing w:after="200"/>
      </w:pPr>
      <w:r>
        <w:t xml:space="preserve">Sem um comprador estratégico específico já em conversa, o licenciamento / white-label tende a capturar mais valor no total do que uma venda integral da propriedade do software: o modelo recorrente aproveita melhor o trabalho já investido, e você não está numa posição de precisar vender tudo de uma vez. A venda total da IP só costuma valer a pena quando surge uma oferta concreta que supere claramente o valor presente do fluxo de licenciamento esperado.</w:t>
      </w:r>
    </w:p>
    <w:p>
      <w:pPr>
        <w:pBdr>
          <w:top w:val="single" w:color="CCCCCC" w:sz="6" w:space="8"/>
        </w:pBdr>
        <w:spacing w:before="480"/>
      </w:pPr>
      <w:r>
        <w:rPr>
          <w:i/>
          <w:iCs/>
          <w:color w:val="777777"/>
          <w:sz w:val="18"/>
          <w:szCs w:val="18"/>
        </w:rPr>
        <w:t xml:space="preserve">Este documento é uma referência de apoio à decisão comercial, baseada no estado do sistema na data indicada — não constitui aconselhamento jurídico, contábil ou de avaliação profissional (valuation). Para uma negociação de maior porte, considere apoio jurídico e contábil especializado.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Precificação — BolsaTrader</dc:title>
  <dc:creator>BolsaTrader</dc:creator>
  <cp:lastModifiedBy>Un-named</cp:lastModifiedBy>
  <cp:revision>1</cp:revision>
  <dcterms:created xsi:type="dcterms:W3CDTF">2026-09-28T19:50:48.676Z</dcterms:created>
  <dcterms:modified xsi:type="dcterms:W3CDTF">2026-09-28T19:50:48.677Z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