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color w:val="17365D"/>
          <w:sz w:val="32"/>
        </w:rPr>
        <w:t>APPLIED DIGITAL CORPORATION (APLD)</w:t>
      </w:r>
    </w:p>
    <w:p>
      <w:pPr>
        <w:spacing w:after="80"/>
      </w:pPr>
      <w:r>
        <w:rPr>
          <w:rFonts w:ascii="Times New Roman" w:hAnsi="Times New Roman"/>
          <w:b w:val="0"/>
          <w:color w:val="000000"/>
          <w:sz w:val="22"/>
        </w:rPr>
        <w:t xml:space="preserve">Rating: </w:t>
      </w:r>
      <w:r>
        <w:rPr>
          <w:rFonts w:ascii="Times New Roman" w:hAnsi="Times New Roman"/>
          <w:b/>
          <w:color w:val="2ECC71"/>
          <w:sz w:val="22"/>
        </w:rPr>
        <w:t>STRONG BUY</w:t>
      </w:r>
      <w:r>
        <w:rPr>
          <w:rFonts w:ascii="Times New Roman" w:hAnsi="Times New Roman"/>
          <w:b w:val="0"/>
          <w:color w:val="000000"/>
          <w:sz w:val="22"/>
        </w:rPr>
        <w:t xml:space="preserve">  |  Price: $27.71</w:t>
      </w:r>
      <w:r>
        <w:rPr>
          <w:rFonts w:ascii="Times New Roman" w:hAnsi="Times New Roman"/>
          <w:b w:val="0"/>
          <w:color w:val="000000"/>
          <w:sz w:val="22"/>
        </w:rPr>
        <w:t xml:space="preserve">  |  Price Target: $40.00</w:t>
      </w:r>
      <w:r>
        <w:rPr>
          <w:rFonts w:ascii="Times New Roman" w:hAnsi="Times New Roman"/>
          <w:b/>
          <w:color w:val="2ECC71"/>
          <w:sz w:val="22"/>
        </w:rPr>
        <w:t xml:space="preserve">  |  Upside: +44%</w:t>
      </w:r>
    </w:p>
    <w:p>
      <w:pPr>
        <w:spacing w:after="240"/>
      </w:pPr>
      <w:r>
        <w:rPr>
          <w:rFonts w:ascii="Times New Roman" w:hAnsi="Times New Roman"/>
          <w:b w:val="0"/>
          <w:i/>
          <w:color w:val="777777"/>
          <w:sz w:val="20"/>
        </w:rPr>
        <w:t>Q2 FY2026 Earnings Update  |  January 8, 2026  |  AI / HPC Data Center Infrastructure</w:t>
      </w:r>
    </w:p>
    <w:p>
      <w:pPr>
        <w:pStyle w:val="Heading2"/>
      </w:pPr>
      <w:r>
        <w:rPr>
          <w:rFonts w:ascii="Times New Roman" w:hAnsi="Times New Roman"/>
          <w:color w:val="17365D"/>
        </w:rPr>
        <w:t>Earnings Summary: Revenue BEAT (+46%)</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Metric</w:t>
            </w:r>
          </w:p>
        </w:tc>
        <w:tc>
          <w:tcPr>
            <w:tcW w:type="dxa" w:w="1881"/>
          </w:tcPr>
          <w:p>
            <w:pPr>
              <w:jc w:val="center"/>
            </w:pPr>
            <w:r>
              <w:rPr>
                <w:rFonts w:ascii="Times New Roman" w:hAnsi="Times New Roman"/>
                <w:b/>
                <w:sz w:val="20"/>
              </w:rPr>
              <w:t>Actual</w:t>
            </w:r>
          </w:p>
        </w:tc>
        <w:tc>
          <w:tcPr>
            <w:tcW w:type="dxa" w:w="1881"/>
          </w:tcPr>
          <w:p>
            <w:pPr>
              <w:jc w:val="center"/>
            </w:pPr>
            <w:r>
              <w:rPr>
                <w:rFonts w:ascii="Times New Roman" w:hAnsi="Times New Roman"/>
                <w:b/>
                <w:sz w:val="20"/>
              </w:rPr>
              <w:t>Consensus</w:t>
            </w:r>
          </w:p>
        </w:tc>
        <w:tc>
          <w:tcPr>
            <w:tcW w:type="dxa" w:w="1881"/>
          </w:tcPr>
          <w:p>
            <w:pPr>
              <w:jc w:val="center"/>
            </w:pPr>
            <w:r>
              <w:rPr>
                <w:rFonts w:ascii="Times New Roman" w:hAnsi="Times New Roman"/>
                <w:b/>
                <w:sz w:val="20"/>
              </w:rPr>
              <w:t>Variance</w:t>
            </w:r>
          </w:p>
        </w:tc>
        <w:tc>
          <w:tcPr>
            <w:tcW w:type="dxa" w:w="1881"/>
          </w:tcPr>
          <w:p>
            <w:pPr>
              <w:jc w:val="center"/>
            </w:pPr>
            <w:r>
              <w:rPr>
                <w:rFonts w:ascii="Times New Roman" w:hAnsi="Times New Roman"/>
                <w:b/>
                <w:sz w:val="20"/>
              </w:rPr>
              <w:t>Result</w:t>
            </w:r>
          </w:p>
        </w:tc>
      </w:tr>
      <w:tr>
        <w:tc>
          <w:tcPr>
            <w:tcW w:type="dxa" w:w="1881"/>
          </w:tcPr>
          <w:p>
            <w:pPr>
              <w:jc w:val="left"/>
            </w:pPr>
            <w:r>
              <w:rPr>
                <w:rFonts w:ascii="Times New Roman" w:hAnsi="Times New Roman"/>
                <w:sz w:val="20"/>
              </w:rPr>
              <w:t>Revenue</w:t>
            </w:r>
          </w:p>
        </w:tc>
        <w:tc>
          <w:tcPr>
            <w:tcW w:type="dxa" w:w="1881"/>
          </w:tcPr>
          <w:p>
            <w:pPr>
              <w:jc w:val="center"/>
            </w:pPr>
            <w:r>
              <w:rPr>
                <w:rFonts w:ascii="Times New Roman" w:hAnsi="Times New Roman"/>
                <w:sz w:val="20"/>
              </w:rPr>
              <w:t>$126.6M</w:t>
            </w:r>
          </w:p>
        </w:tc>
        <w:tc>
          <w:tcPr>
            <w:tcW w:type="dxa" w:w="1881"/>
          </w:tcPr>
          <w:p>
            <w:pPr>
              <w:jc w:val="center"/>
            </w:pPr>
            <w:r>
              <w:rPr>
                <w:rFonts w:ascii="Times New Roman" w:hAnsi="Times New Roman"/>
                <w:sz w:val="20"/>
              </w:rPr>
              <w:t>$86.7M</w:t>
            </w:r>
          </w:p>
        </w:tc>
        <w:tc>
          <w:tcPr>
            <w:tcW w:type="dxa" w:w="1881"/>
          </w:tcPr>
          <w:p>
            <w:pPr>
              <w:jc w:val="center"/>
            </w:pPr>
            <w:r>
              <w:rPr>
                <w:rFonts w:ascii="Times New Roman" w:hAnsi="Times New Roman"/>
                <w:sz w:val="20"/>
              </w:rPr>
              <w:t>+$39.9M (+46.1%)</w:t>
            </w:r>
          </w:p>
        </w:tc>
        <w:tc>
          <w:tcPr>
            <w:tcW w:type="dxa" w:w="1881"/>
          </w:tcPr>
          <w:p>
            <w:pPr>
              <w:jc w:val="center"/>
            </w:pPr>
            <w:r>
              <w:rPr>
                <w:rFonts w:ascii="Times New Roman" w:hAnsi="Times New Roman"/>
                <w:sz w:val="20"/>
              </w:rPr>
              <w:t>BEAT</w:t>
            </w:r>
          </w:p>
        </w:tc>
      </w:tr>
      <w:tr>
        <w:tc>
          <w:tcPr>
            <w:tcW w:type="dxa" w:w="1881"/>
          </w:tcPr>
          <w:p>
            <w:pPr>
              <w:jc w:val="left"/>
            </w:pPr>
            <w:r>
              <w:rPr>
                <w:rFonts w:ascii="Times New Roman" w:hAnsi="Times New Roman"/>
                <w:sz w:val="20"/>
              </w:rPr>
              <w:t>GAAP EPS</w:t>
            </w:r>
          </w:p>
        </w:tc>
        <w:tc>
          <w:tcPr>
            <w:tcW w:type="dxa" w:w="1881"/>
          </w:tcPr>
          <w:p>
            <w:pPr>
              <w:jc w:val="center"/>
            </w:pPr>
            <w:r>
              <w:rPr>
                <w:rFonts w:ascii="Times New Roman" w:hAnsi="Times New Roman"/>
                <w:sz w:val="20"/>
              </w:rPr>
              <w:t>$(0.11)</w:t>
            </w:r>
          </w:p>
        </w:tc>
        <w:tc>
          <w:tcPr>
            <w:tcW w:type="dxa" w:w="1881"/>
          </w:tcPr>
          <w:p>
            <w:pPr>
              <w:jc w:val="center"/>
            </w:pPr>
            <w:r>
              <w:rPr>
                <w:rFonts w:ascii="Times New Roman" w:hAnsi="Times New Roman"/>
                <w:sz w:val="20"/>
              </w:rPr>
              <w:t>$(0.14)</w:t>
            </w:r>
          </w:p>
        </w:tc>
        <w:tc>
          <w:tcPr>
            <w:tcW w:type="dxa" w:w="1881"/>
          </w:tcPr>
          <w:p>
            <w:pPr>
              <w:jc w:val="center"/>
            </w:pPr>
            <w:r>
              <w:rPr>
                <w:rFonts w:ascii="Times New Roman" w:hAnsi="Times New Roman"/>
                <w:sz w:val="20"/>
              </w:rPr>
              <w:t>+$0.03</w:t>
            </w:r>
          </w:p>
        </w:tc>
        <w:tc>
          <w:tcPr>
            <w:tcW w:type="dxa" w:w="1881"/>
          </w:tcPr>
          <w:p>
            <w:pPr>
              <w:jc w:val="center"/>
            </w:pPr>
            <w:r>
              <w:rPr>
                <w:rFonts w:ascii="Times New Roman" w:hAnsi="Times New Roman"/>
                <w:sz w:val="20"/>
              </w:rPr>
              <w:t>BEAT</w:t>
            </w:r>
          </w:p>
        </w:tc>
      </w:tr>
      <w:tr>
        <w:tc>
          <w:tcPr>
            <w:tcW w:type="dxa" w:w="1881"/>
          </w:tcPr>
          <w:p>
            <w:pPr>
              <w:jc w:val="left"/>
            </w:pPr>
            <w:r>
              <w:rPr>
                <w:rFonts w:ascii="Times New Roman" w:hAnsi="Times New Roman"/>
                <w:sz w:val="20"/>
              </w:rPr>
              <w:t>Adj. EBITDA</w:t>
            </w:r>
          </w:p>
        </w:tc>
        <w:tc>
          <w:tcPr>
            <w:tcW w:type="dxa" w:w="1881"/>
          </w:tcPr>
          <w:p>
            <w:pPr>
              <w:jc w:val="center"/>
            </w:pPr>
            <w:r>
              <w:rPr>
                <w:rFonts w:ascii="Times New Roman" w:hAnsi="Times New Roman"/>
                <w:sz w:val="20"/>
              </w:rPr>
              <w:t>$20.2M</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+231% YoY</w:t>
            </w:r>
          </w:p>
        </w:tc>
        <w:tc>
          <w:tcPr>
            <w:tcW w:type="dxa" w:w="1881"/>
          </w:tcPr>
          <w:p>
            <w:pPr>
              <w:jc w:val="center"/>
            </w:pPr>
            <w:r>
              <w:rPr>
                <w:rFonts w:ascii="Times New Roman" w:hAnsi="Times New Roman"/>
                <w:sz w:val="20"/>
              </w:rPr>
              <w:t>BEAT</w:t>
            </w:r>
          </w:p>
        </w:tc>
      </w:tr>
      <w:tr>
        <w:tc>
          <w:tcPr>
            <w:tcW w:type="dxa" w:w="1881"/>
          </w:tcPr>
          <w:p>
            <w:pPr>
              <w:jc w:val="left"/>
            </w:pPr>
            <w:r>
              <w:rPr>
                <w:rFonts w:ascii="Times New Roman" w:hAnsi="Times New Roman"/>
                <w:sz w:val="20"/>
              </w:rPr>
              <w:t>Revenue YoY Growth</w:t>
            </w:r>
          </w:p>
        </w:tc>
        <w:tc>
          <w:tcPr>
            <w:tcW w:type="dxa" w:w="1881"/>
          </w:tcPr>
          <w:p>
            <w:pPr>
              <w:jc w:val="center"/>
            </w:pPr>
            <w:r>
              <w:rPr>
                <w:rFonts w:ascii="Times New Roman" w:hAnsi="Times New Roman"/>
                <w:sz w:val="20"/>
              </w:rPr>
              <w:t>+250%</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Accelerating</w:t>
            </w:r>
          </w:p>
        </w:tc>
      </w:tr>
    </w:tbl>
    <w:p>
      <w:pPr>
        <w:spacing w:after="240"/>
      </w:pPr>
      <w:r>
        <w:rPr>
          <w:rFonts w:ascii="Times New Roman" w:hAnsi="Times New Roman"/>
          <w:b w:val="0"/>
          <w:i/>
          <w:color w:val="777777"/>
          <w:sz w:val="16"/>
        </w:rPr>
        <w:t>Source: Applied Digital Q2 FY2026 Earnings Release (January 7, 2026); Consensus from StockAnalysis.com</w:t>
      </w:r>
    </w:p>
    <w:p>
      <w:pPr>
        <w:pStyle w:val="Heading3"/>
      </w:pPr>
      <w:r>
        <w:rPr>
          <w:rFonts w:ascii="Times New Roman" w:hAnsi="Times New Roman"/>
          <w:color w:val="17365D"/>
        </w:rPr>
        <w:t>Key Takeaways</w:t>
      </w:r>
    </w:p>
    <w:p>
      <w:pPr>
        <w:pStyle w:val="ListBullet"/>
      </w:pPr>
      <w:r>
        <w:rPr>
          <w:rFonts w:ascii="Times New Roman" w:hAnsi="Times New Roman"/>
          <w:b/>
          <w:sz w:val="22"/>
        </w:rPr>
        <w:t xml:space="preserve">Revenue inflection is real: </w:t>
      </w:r>
      <w:r>
        <w:rPr>
          <w:rFonts w:ascii="Times New Roman" w:hAnsi="Times New Roman"/>
          <w:sz w:val="22"/>
        </w:rPr>
        <w:t>Massive revenue beat driven by $73M in HPC fit-out/equipment installation services for CoreWeave, plus $12M in recurring lease revenue from Polaris Forge 1. The +250% YoY growth demonstrates the HPC pivot thesis is playing out ahead of schedule.</w:t>
      </w:r>
    </w:p>
    <w:p>
      <w:pPr>
        <w:pStyle w:val="ListBullet"/>
      </w:pPr>
      <w:r>
        <w:rPr>
          <w:rFonts w:ascii="Times New Roman" w:hAnsi="Times New Roman"/>
          <w:b/>
          <w:sz w:val="22"/>
        </w:rPr>
        <w:t xml:space="preserve">Margin compression is temporary: </w:t>
      </w:r>
      <w:r>
        <w:rPr>
          <w:rFonts w:ascii="Times New Roman" w:hAnsi="Times New Roman"/>
          <w:sz w:val="22"/>
        </w:rPr>
        <w:t>Current gross margin of 20.5% is temporarily depressed by low-margin (mid-single-digit) fit-out services. As recurring lease revenue scales from 100 MW operational to 600 MW contracted, margins should expand meaningfully toward peer levels of 50-60%.</w:t>
      </w:r>
    </w:p>
    <w:p>
      <w:pPr>
        <w:pStyle w:val="ListBullet"/>
      </w:pPr>
      <w:r>
        <w:rPr>
          <w:rFonts w:ascii="Times New Roman" w:hAnsi="Times New Roman"/>
          <w:b/>
          <w:sz w:val="22"/>
        </w:rPr>
        <w:t xml:space="preserve">Backlog dominance validates premium: </w:t>
      </w:r>
      <w:r>
        <w:rPr>
          <w:rFonts w:ascii="Times New Roman" w:hAnsi="Times New Roman"/>
          <w:sz w:val="22"/>
        </w:rPr>
        <w:t>$16B in contracted lease revenue (largest in peer group) provides exceptional revenue visibility. The new $5B, 15-year hyperscaler lease at Polaris Forge 2 reduces CoreWeave concentration risk.</w:t>
      </w:r>
    </w:p>
    <w:p>
      <w:pPr>
        <w:pStyle w:val="ListBullet"/>
      </w:pPr>
      <w:r>
        <w:rPr>
          <w:rFonts w:ascii="Times New Roman" w:hAnsi="Times New Roman"/>
          <w:b/>
          <w:sz w:val="22"/>
        </w:rPr>
        <w:t xml:space="preserve">Balance sheet is stretched but manageable: </w:t>
      </w:r>
      <w:r>
        <w:rPr>
          <w:rFonts w:ascii="Times New Roman" w:hAnsi="Times New Roman"/>
          <w:sz w:val="22"/>
        </w:rPr>
        <w:t>$2.6B in total debt (9.25% senior secured notes) against $2.3B in cash. The capital-intensive buildout is funded but leaves limited margin for error. Execution on Polaris Forge timelines is critical.</w:t>
      </w:r>
    </w:p>
    <w:p>
      <w:pPr>
        <w:pStyle w:val="Heading3"/>
      </w:pPr>
      <w:r>
        <w:rPr>
          <w:rFonts w:ascii="Times New Roman" w:hAnsi="Times New Roman"/>
          <w:color w:val="17365D"/>
        </w:rPr>
        <w:t>Updated Financial Estimates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Metric</w:t>
            </w:r>
          </w:p>
        </w:tc>
        <w:tc>
          <w:tcPr>
            <w:tcW w:type="dxa" w:w="1881"/>
          </w:tcPr>
          <w:p>
            <w:pPr>
              <w:jc w:val="center"/>
            </w:pPr>
            <w:r>
              <w:rPr>
                <w:rFonts w:ascii="Times New Roman" w:hAnsi="Times New Roman"/>
                <w:b/>
                <w:sz w:val="20"/>
              </w:rPr>
              <w:t>FY2026E (Old)</w:t>
            </w:r>
          </w:p>
        </w:tc>
        <w:tc>
          <w:tcPr>
            <w:tcW w:type="dxa" w:w="1881"/>
          </w:tcPr>
          <w:p>
            <w:pPr>
              <w:jc w:val="center"/>
            </w:pPr>
            <w:r>
              <w:rPr>
                <w:rFonts w:ascii="Times New Roman" w:hAnsi="Times New Roman"/>
                <w:b/>
                <w:sz w:val="20"/>
              </w:rPr>
              <w:t>FY2026E (New)</w:t>
            </w:r>
          </w:p>
        </w:tc>
        <w:tc>
          <w:tcPr>
            <w:tcW w:type="dxa" w:w="1881"/>
          </w:tcPr>
          <w:p>
            <w:pPr>
              <w:jc w:val="center"/>
            </w:pPr>
            <w:r>
              <w:rPr>
                <w:rFonts w:ascii="Times New Roman" w:hAnsi="Times New Roman"/>
                <w:b/>
                <w:sz w:val="20"/>
              </w:rPr>
              <w:t>FY2027E (Old)</w:t>
            </w:r>
          </w:p>
        </w:tc>
        <w:tc>
          <w:tcPr>
            <w:tcW w:type="dxa" w:w="1881"/>
          </w:tcPr>
          <w:p>
            <w:pPr>
              <w:jc w:val="center"/>
            </w:pPr>
            <w:r>
              <w:rPr>
                <w:rFonts w:ascii="Times New Roman" w:hAnsi="Times New Roman"/>
                <w:b/>
                <w:sz w:val="20"/>
              </w:rPr>
              <w:t>FY2027E (New)</w:t>
            </w:r>
          </w:p>
        </w:tc>
      </w:tr>
      <w:tr>
        <w:tc>
          <w:tcPr>
            <w:tcW w:type="dxa" w:w="1881"/>
          </w:tcPr>
          <w:p>
            <w:pPr>
              <w:jc w:val="left"/>
            </w:pPr>
            <w:r>
              <w:rPr>
                <w:rFonts w:ascii="Times New Roman" w:hAnsi="Times New Roman"/>
                <w:sz w:val="20"/>
              </w:rPr>
              <w:t>Revenue</w:t>
            </w:r>
          </w:p>
        </w:tc>
        <w:tc>
          <w:tcPr>
            <w:tcW w:type="dxa" w:w="1881"/>
          </w:tcPr>
          <w:p>
            <w:pPr>
              <w:jc w:val="center"/>
            </w:pPr>
            <w:r>
              <w:rPr>
                <w:rFonts w:ascii="Times New Roman" w:hAnsi="Times New Roman"/>
                <w:sz w:val="20"/>
              </w:rPr>
              <w:t>$290M</w:t>
            </w:r>
          </w:p>
        </w:tc>
        <w:tc>
          <w:tcPr>
            <w:tcW w:type="dxa" w:w="1881"/>
          </w:tcPr>
          <w:p>
            <w:pPr>
              <w:jc w:val="center"/>
            </w:pPr>
            <w:r>
              <w:rPr>
                <w:rFonts w:ascii="Times New Roman" w:hAnsi="Times New Roman"/>
                <w:sz w:val="20"/>
              </w:rPr>
              <w:t>$346M</w:t>
            </w:r>
          </w:p>
        </w:tc>
        <w:tc>
          <w:tcPr>
            <w:tcW w:type="dxa" w:w="1881"/>
          </w:tcPr>
          <w:p>
            <w:pPr>
              <w:jc w:val="center"/>
            </w:pPr>
            <w:r>
              <w:rPr>
                <w:rFonts w:ascii="Times New Roman" w:hAnsi="Times New Roman"/>
                <w:sz w:val="20"/>
              </w:rPr>
              <w:t>$500M</w:t>
            </w:r>
          </w:p>
        </w:tc>
        <w:tc>
          <w:tcPr>
            <w:tcW w:type="dxa" w:w="1881"/>
          </w:tcPr>
          <w:p>
            <w:pPr>
              <w:jc w:val="center"/>
            </w:pPr>
            <w:r>
              <w:rPr>
                <w:rFonts w:ascii="Times New Roman" w:hAnsi="Times New Roman"/>
                <w:sz w:val="20"/>
              </w:rPr>
              <w:t>$554M</w:t>
            </w:r>
          </w:p>
        </w:tc>
      </w:tr>
      <w:tr>
        <w:tc>
          <w:tcPr>
            <w:tcW w:type="dxa" w:w="1881"/>
          </w:tcPr>
          <w:p>
            <w:pPr>
              <w:jc w:val="left"/>
            </w:pPr>
            <w:r>
              <w:rPr>
                <w:rFonts w:ascii="Times New Roman" w:hAnsi="Times New Roman"/>
                <w:sz w:val="20"/>
              </w:rPr>
              <w:t>Revenue Growth</w:t>
            </w:r>
          </w:p>
        </w:tc>
        <w:tc>
          <w:tcPr>
            <w:tcW w:type="dxa" w:w="1881"/>
          </w:tcPr>
          <w:p>
            <w:pPr>
              <w:jc w:val="center"/>
            </w:pPr>
            <w:r>
              <w:rPr>
                <w:rFonts w:ascii="Times New Roman" w:hAnsi="Times New Roman"/>
                <w:sz w:val="20"/>
              </w:rPr>
              <w:t>+101%</w:t>
            </w:r>
          </w:p>
        </w:tc>
        <w:tc>
          <w:tcPr>
            <w:tcW w:type="dxa" w:w="1881"/>
          </w:tcPr>
          <w:p>
            <w:pPr>
              <w:jc w:val="center"/>
            </w:pPr>
            <w:r>
              <w:rPr>
                <w:rFonts w:ascii="Times New Roman" w:hAnsi="Times New Roman"/>
                <w:sz w:val="20"/>
              </w:rPr>
              <w:t>+140%</w:t>
            </w:r>
          </w:p>
        </w:tc>
        <w:tc>
          <w:tcPr>
            <w:tcW w:type="dxa" w:w="1881"/>
          </w:tcPr>
          <w:p>
            <w:pPr>
              <w:jc w:val="center"/>
            </w:pPr>
            <w:r>
              <w:rPr>
                <w:rFonts w:ascii="Times New Roman" w:hAnsi="Times New Roman"/>
                <w:sz w:val="20"/>
              </w:rPr>
              <w:t>+72%</w:t>
            </w:r>
          </w:p>
        </w:tc>
        <w:tc>
          <w:tcPr>
            <w:tcW w:type="dxa" w:w="1881"/>
          </w:tcPr>
          <w:p>
            <w:pPr>
              <w:jc w:val="center"/>
            </w:pPr>
            <w:r>
              <w:rPr>
                <w:rFonts w:ascii="Times New Roman" w:hAnsi="Times New Roman"/>
                <w:sz w:val="20"/>
              </w:rPr>
              <w:t>+60%</w:t>
            </w:r>
          </w:p>
        </w:tc>
      </w:tr>
      <w:tr>
        <w:tc>
          <w:tcPr>
            <w:tcW w:type="dxa" w:w="1881"/>
          </w:tcPr>
          <w:p>
            <w:pPr>
              <w:jc w:val="left"/>
            </w:pPr>
            <w:r>
              <w:rPr>
                <w:rFonts w:ascii="Times New Roman" w:hAnsi="Times New Roman"/>
                <w:sz w:val="20"/>
              </w:rPr>
              <w:t>Adj. EBITDA</w:t>
            </w:r>
          </w:p>
        </w:tc>
        <w:tc>
          <w:tcPr>
            <w:tcW w:type="dxa" w:w="1881"/>
          </w:tcPr>
          <w:p>
            <w:pPr>
              <w:jc w:val="center"/>
            </w:pPr>
            <w:r>
              <w:rPr>
                <w:rFonts w:ascii="Times New Roman" w:hAnsi="Times New Roman"/>
                <w:sz w:val="20"/>
              </w:rPr>
              <w:t>$40M</w:t>
            </w:r>
          </w:p>
        </w:tc>
        <w:tc>
          <w:tcPr>
            <w:tcW w:type="dxa" w:w="1881"/>
          </w:tcPr>
          <w:p>
            <w:pPr>
              <w:jc w:val="center"/>
            </w:pPr>
            <w:r>
              <w:rPr>
                <w:rFonts w:ascii="Times New Roman" w:hAnsi="Times New Roman"/>
                <w:sz w:val="20"/>
              </w:rPr>
              <w:t>$48M</w:t>
            </w:r>
          </w:p>
        </w:tc>
        <w:tc>
          <w:tcPr>
            <w:tcW w:type="dxa" w:w="1881"/>
          </w:tcPr>
          <w:p>
            <w:pPr>
              <w:jc w:val="center"/>
            </w:pPr>
            <w:r>
              <w:rPr>
                <w:rFonts w:ascii="Times New Roman" w:hAnsi="Times New Roman"/>
                <w:sz w:val="20"/>
              </w:rPr>
              <w:t>$95M</w:t>
            </w:r>
          </w:p>
        </w:tc>
        <w:tc>
          <w:tcPr>
            <w:tcW w:type="dxa" w:w="1881"/>
          </w:tcPr>
          <w:p>
            <w:pPr>
              <w:jc w:val="center"/>
            </w:pPr>
            <w:r>
              <w:rPr>
                <w:rFonts w:ascii="Times New Roman" w:hAnsi="Times New Roman"/>
                <w:sz w:val="20"/>
              </w:rPr>
              <w:t>$110M</w:t>
            </w:r>
          </w:p>
        </w:tc>
      </w:tr>
      <w:tr>
        <w:tc>
          <w:tcPr>
            <w:tcW w:type="dxa" w:w="1881"/>
          </w:tcPr>
          <w:p>
            <w:pPr>
              <w:jc w:val="left"/>
            </w:pPr>
            <w:r>
              <w:rPr>
                <w:rFonts w:ascii="Times New Roman" w:hAnsi="Times New Roman"/>
                <w:sz w:val="20"/>
              </w:rPr>
              <w:t>EPS</w:t>
            </w:r>
          </w:p>
        </w:tc>
        <w:tc>
          <w:tcPr>
            <w:tcW w:type="dxa" w:w="1881"/>
          </w:tcPr>
          <w:p>
            <w:pPr>
              <w:jc w:val="center"/>
            </w:pPr>
            <w:r>
              <w:rPr>
                <w:rFonts w:ascii="Times New Roman" w:hAnsi="Times New Roman"/>
                <w:sz w:val="20"/>
              </w:rPr>
              <w:t>$(0.55)</w:t>
            </w:r>
          </w:p>
        </w:tc>
        <w:tc>
          <w:tcPr>
            <w:tcW w:type="dxa" w:w="1881"/>
          </w:tcPr>
          <w:p>
            <w:pPr>
              <w:jc w:val="center"/>
            </w:pPr>
            <w:r>
              <w:rPr>
                <w:rFonts w:ascii="Times New Roman" w:hAnsi="Times New Roman"/>
                <w:sz w:val="20"/>
              </w:rPr>
              <w:t>$(0.49)</w:t>
            </w:r>
          </w:p>
        </w:tc>
        <w:tc>
          <w:tcPr>
            <w:tcW w:type="dxa" w:w="1881"/>
          </w:tcPr>
          <w:p>
            <w:pPr>
              <w:jc w:val="center"/>
            </w:pPr>
            <w:r>
              <w:rPr>
                <w:rFonts w:ascii="Times New Roman" w:hAnsi="Times New Roman"/>
                <w:sz w:val="20"/>
              </w:rPr>
              <w:t>$(0.80)</w:t>
            </w:r>
          </w:p>
        </w:tc>
        <w:tc>
          <w:tcPr>
            <w:tcW w:type="dxa" w:w="1881"/>
          </w:tcPr>
          <w:p>
            <w:pPr>
              <w:jc w:val="center"/>
            </w:pPr>
            <w:r>
              <w:rPr>
                <w:rFonts w:ascii="Times New Roman" w:hAnsi="Times New Roman"/>
                <w:sz w:val="20"/>
              </w:rPr>
              <w:t>$(0.71)</w:t>
            </w:r>
          </w:p>
        </w:tc>
      </w:tr>
    </w:tbl>
    <w:p>
      <w:pPr>
        <w:spacing w:after="240"/>
      </w:pPr>
      <w:r>
        <w:rPr>
          <w:rFonts w:ascii="Times New Roman" w:hAnsi="Times New Roman"/>
          <w:b w:val="0"/>
          <w:i/>
          <w:color w:val="777777"/>
          <w:sz w:val="16"/>
        </w:rPr>
        <w:t>Source: Consensus estimates from StockAnalysis.com (pre- and post-Q2 FY2026); analyst reports</w:t>
      </w:r>
    </w:p>
    <w:p>
      <w:r>
        <w:br w:type="page"/>
      </w:r>
    </w:p>
    <w:p>
      <w:pPr>
        <w:pStyle w:val="Heading1"/>
      </w:pPr>
      <w:r>
        <w:rPr>
          <w:rFonts w:ascii="Times New Roman" w:hAnsi="Times New Roman"/>
          <w:color w:val="17365D"/>
        </w:rPr>
        <w:t>Detailed Results Analysis</w:t>
      </w:r>
    </w:p>
    <w:p>
      <w:pPr>
        <w:pStyle w:val="Heading2"/>
      </w:pPr>
      <w:r>
        <w:rPr>
          <w:rFonts w:ascii="Times New Roman" w:hAnsi="Times New Roman"/>
          <w:color w:val="17365D"/>
        </w:rPr>
        <w:t>Revenue Analysis</w:t>
      </w:r>
    </w:p>
    <w:p>
      <w:pPr>
        <w:spacing w:after="120"/>
      </w:pPr>
      <w:r>
        <w:rPr>
          <w:rFonts w:ascii="Times New Roman" w:hAnsi="Times New Roman"/>
          <w:b w:val="0"/>
          <w:i w:val="0"/>
          <w:color w:val="000000"/>
          <w:sz w:val="22"/>
        </w:rPr>
        <w:t>Applied Digital reported Q2 FY2026 revenue of $126.6 million, beating consensus by $39.9 million (+46.1%) and growing +250% year-over-year from $36.2 million. Sequential growth was equally impressive at +97% from Q1 FY2026's $64.2 million. This was the company's strongest quarter ever and marks the first meaningful contribution from HPC Hosting operations.</w:t>
      </w:r>
    </w:p>
    <w:p>
      <w:pPr>
        <w:spacing w:after="120"/>
      </w:pPr>
      <w:r>
        <w:rPr>
          <w:rFonts w:ascii="Times New Roman" w:hAnsi="Times New Roman"/>
          <w:b w:val="0"/>
          <w:i w:val="0"/>
          <w:color w:val="000000"/>
          <w:sz w:val="22"/>
        </w:rPr>
        <w:t>The revenue beat was primarily driven by HPC Hosting, which contributed $85.0 million in its second quarter of revenue. Within HPC Hosting, $73 million came from tenant fit-out and equipment installation services for CoreWeave's deployment at Polaris Forge 1, with the remaining $12 million from recurring lease revenue as the first 100 MW (ELN-02) became operational. Legacy Data Center Hosting contributed $41.6 million, growing +15% YoY — steady but now secondary to the HPC ramp.</w:t>
      </w:r>
    </w:p>
    <w:p>
      <w:pPr>
        <w:jc w:val="center"/>
      </w:pPr>
      <w:r>
        <w:drawing>
          <wp:inline xmlns:a="http://schemas.openxmlformats.org/drawingml/2006/main" xmlns:pic="http://schemas.openxmlformats.org/drawingml/2006/picture">
            <wp:extent cx="5029200" cy="3537902"/>
            <wp:docPr id="1" name="Picture 1"/>
            <wp:cNvGraphicFramePr>
              <a:graphicFrameLocks noChangeAspect="1"/>
            </wp:cNvGraphicFramePr>
            <a:graphic>
              <a:graphicData uri="http://schemas.openxmlformats.org/drawingml/2006/picture">
                <pic:pic>
                  <pic:nvPicPr>
                    <pic:cNvPr id="0" name="chart1_revenue_progression.png"/>
                    <pic:cNvPicPr/>
                  </pic:nvPicPr>
                  <pic:blipFill>
                    <a:blip r:embed="rId9"/>
                    <a:stretch>
                      <a:fillRect/>
                    </a:stretch>
                  </pic:blipFill>
                  <pic:spPr>
                    <a:xfrm>
                      <a:off x="0" y="0"/>
                      <a:ext cx="5029200" cy="3537902"/>
                    </a:xfrm>
                    <a:prstGeom prst="rect"/>
                  </pic:spPr>
                </pic:pic>
              </a:graphicData>
            </a:graphic>
          </wp:inline>
        </w:drawing>
      </w:r>
    </w:p>
    <w:p>
      <w:pPr>
        <w:spacing w:after="240"/>
        <w:jc w:val="center"/>
      </w:pPr>
      <w:r>
        <w:rPr>
          <w:rFonts w:ascii="Times New Roman" w:hAnsi="Times New Roman"/>
          <w:b w:val="0"/>
          <w:i/>
          <w:color w:val="777777"/>
          <w:sz w:val="18"/>
        </w:rPr>
        <w:t>Figure 1: Quarterly Revenue Progression — Inflection Point in Q2 FY2026</w:t>
      </w:r>
    </w:p>
    <w:p>
      <w:pPr>
        <w:pStyle w:val="Heading3"/>
      </w:pPr>
      <w:r>
        <w:rPr>
          <w:rFonts w:ascii="Times New Roman" w:hAnsi="Times New Roman"/>
          <w:color w:val="17365D"/>
        </w:rPr>
        <w:t>Quarterly Revenue Progression</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20"/>
              </w:rPr>
            </w:r>
          </w:p>
        </w:tc>
        <w:tc>
          <w:tcPr>
            <w:tcW w:type="dxa" w:w="1568"/>
          </w:tcPr>
          <w:p>
            <w:pPr>
              <w:jc w:val="center"/>
            </w:pPr>
            <w:r>
              <w:rPr>
                <w:rFonts w:ascii="Times New Roman" w:hAnsi="Times New Roman"/>
                <w:b/>
                <w:sz w:val="20"/>
              </w:rPr>
              <w:t>Q2 FY25</w:t>
            </w:r>
          </w:p>
        </w:tc>
        <w:tc>
          <w:tcPr>
            <w:tcW w:type="dxa" w:w="1568"/>
          </w:tcPr>
          <w:p>
            <w:pPr>
              <w:jc w:val="center"/>
            </w:pPr>
            <w:r>
              <w:rPr>
                <w:rFonts w:ascii="Times New Roman" w:hAnsi="Times New Roman"/>
                <w:b/>
                <w:sz w:val="20"/>
              </w:rPr>
              <w:t>Q3 FY25</w:t>
            </w:r>
          </w:p>
        </w:tc>
        <w:tc>
          <w:tcPr>
            <w:tcW w:type="dxa" w:w="1568"/>
          </w:tcPr>
          <w:p>
            <w:pPr>
              <w:jc w:val="center"/>
            </w:pPr>
            <w:r>
              <w:rPr>
                <w:rFonts w:ascii="Times New Roman" w:hAnsi="Times New Roman"/>
                <w:b/>
                <w:sz w:val="20"/>
              </w:rPr>
              <w:t>Q4 FY25</w:t>
            </w:r>
          </w:p>
        </w:tc>
        <w:tc>
          <w:tcPr>
            <w:tcW w:type="dxa" w:w="1568"/>
          </w:tcPr>
          <w:p>
            <w:pPr>
              <w:jc w:val="center"/>
            </w:pPr>
            <w:r>
              <w:rPr>
                <w:rFonts w:ascii="Times New Roman" w:hAnsi="Times New Roman"/>
                <w:b/>
                <w:sz w:val="20"/>
              </w:rPr>
              <w:t>Q1 FY26</w:t>
            </w:r>
          </w:p>
        </w:tc>
        <w:tc>
          <w:tcPr>
            <w:tcW w:type="dxa" w:w="1568"/>
          </w:tcPr>
          <w:p>
            <w:pPr>
              <w:jc w:val="center"/>
            </w:pPr>
            <w:r>
              <w:rPr>
                <w:rFonts w:ascii="Times New Roman" w:hAnsi="Times New Roman"/>
                <w:b/>
                <w:sz w:val="20"/>
              </w:rPr>
              <w:t>Q2 FY26</w:t>
            </w:r>
          </w:p>
        </w:tc>
      </w:tr>
      <w:tr>
        <w:tc>
          <w:tcPr>
            <w:tcW w:type="dxa" w:w="1568"/>
          </w:tcPr>
          <w:p>
            <w:pPr>
              <w:jc w:val="left"/>
            </w:pPr>
            <w:r>
              <w:rPr>
                <w:rFonts w:ascii="Times New Roman" w:hAnsi="Times New Roman"/>
                <w:sz w:val="20"/>
              </w:rPr>
              <w:t>Total Revenue</w:t>
            </w:r>
          </w:p>
        </w:tc>
        <w:tc>
          <w:tcPr>
            <w:tcW w:type="dxa" w:w="1568"/>
          </w:tcPr>
          <w:p>
            <w:pPr>
              <w:jc w:val="center"/>
            </w:pPr>
            <w:r>
              <w:rPr>
                <w:rFonts w:ascii="Times New Roman" w:hAnsi="Times New Roman"/>
                <w:sz w:val="20"/>
              </w:rPr>
              <w:t>$36.2M</w:t>
            </w:r>
          </w:p>
        </w:tc>
        <w:tc>
          <w:tcPr>
            <w:tcW w:type="dxa" w:w="1568"/>
          </w:tcPr>
          <w:p>
            <w:pPr>
              <w:jc w:val="center"/>
            </w:pPr>
            <w:r>
              <w:rPr>
                <w:rFonts w:ascii="Times New Roman" w:hAnsi="Times New Roman"/>
                <w:sz w:val="20"/>
              </w:rPr>
              <w:t>$36.0M</w:t>
            </w:r>
          </w:p>
        </w:tc>
        <w:tc>
          <w:tcPr>
            <w:tcW w:type="dxa" w:w="1568"/>
          </w:tcPr>
          <w:p>
            <w:pPr>
              <w:jc w:val="center"/>
            </w:pPr>
            <w:r>
              <w:rPr>
                <w:rFonts w:ascii="Times New Roman" w:hAnsi="Times New Roman"/>
                <w:sz w:val="20"/>
              </w:rPr>
              <w:t>$43.5M</w:t>
            </w:r>
          </w:p>
        </w:tc>
        <w:tc>
          <w:tcPr>
            <w:tcW w:type="dxa" w:w="1568"/>
          </w:tcPr>
          <w:p>
            <w:pPr>
              <w:jc w:val="center"/>
            </w:pPr>
            <w:r>
              <w:rPr>
                <w:rFonts w:ascii="Times New Roman" w:hAnsi="Times New Roman"/>
                <w:sz w:val="20"/>
              </w:rPr>
              <w:t>$64.2M</w:t>
            </w:r>
          </w:p>
        </w:tc>
        <w:tc>
          <w:tcPr>
            <w:tcW w:type="dxa" w:w="1568"/>
          </w:tcPr>
          <w:p>
            <w:pPr>
              <w:jc w:val="center"/>
            </w:pPr>
            <w:r>
              <w:rPr>
                <w:rFonts w:ascii="Times New Roman" w:hAnsi="Times New Roman"/>
                <w:sz w:val="20"/>
              </w:rPr>
              <w:t>$126.6M</w:t>
            </w:r>
          </w:p>
        </w:tc>
      </w:tr>
      <w:tr>
        <w:tc>
          <w:tcPr>
            <w:tcW w:type="dxa" w:w="1568"/>
          </w:tcPr>
          <w:p>
            <w:pPr>
              <w:jc w:val="left"/>
            </w:pPr>
            <w:r>
              <w:rPr>
                <w:rFonts w:ascii="Times New Roman" w:hAnsi="Times New Roman"/>
                <w:sz w:val="20"/>
              </w:rPr>
              <w:t>YoY Growth</w:t>
            </w:r>
          </w:p>
        </w:tc>
        <w:tc>
          <w:tcPr>
            <w:tcW w:type="dxa" w:w="1568"/>
          </w:tcPr>
          <w:p>
            <w:pPr>
              <w:jc w:val="center"/>
            </w:pPr>
            <w:r>
              <w:rPr>
                <w:rFonts w:ascii="Times New Roman" w:hAnsi="Times New Roman"/>
                <w:sz w:val="20"/>
              </w:rPr>
              <w:t>+51%</w:t>
            </w:r>
          </w:p>
        </w:tc>
        <w:tc>
          <w:tcPr>
            <w:tcW w:type="dxa" w:w="1568"/>
          </w:tcPr>
          <w:p>
            <w:pPr>
              <w:jc w:val="center"/>
            </w:pPr>
            <w:r>
              <w:rPr>
                <w:rFonts w:ascii="Times New Roman" w:hAnsi="Times New Roman"/>
                <w:sz w:val="20"/>
              </w:rPr>
              <w:t>N/A</w:t>
            </w:r>
          </w:p>
        </w:tc>
        <w:tc>
          <w:tcPr>
            <w:tcW w:type="dxa" w:w="1568"/>
          </w:tcPr>
          <w:p>
            <w:pPr>
              <w:jc w:val="center"/>
            </w:pPr>
            <w:r>
              <w:rPr>
                <w:rFonts w:ascii="Times New Roman" w:hAnsi="Times New Roman"/>
                <w:sz w:val="20"/>
              </w:rPr>
              <w:t>N/A</w:t>
            </w:r>
          </w:p>
        </w:tc>
        <w:tc>
          <w:tcPr>
            <w:tcW w:type="dxa" w:w="1568"/>
          </w:tcPr>
          <w:p>
            <w:pPr>
              <w:jc w:val="center"/>
            </w:pPr>
            <w:r>
              <w:rPr>
                <w:rFonts w:ascii="Times New Roman" w:hAnsi="Times New Roman"/>
                <w:sz w:val="20"/>
              </w:rPr>
              <w:t>+84%</w:t>
            </w:r>
          </w:p>
        </w:tc>
        <w:tc>
          <w:tcPr>
            <w:tcW w:type="dxa" w:w="1568"/>
          </w:tcPr>
          <w:p>
            <w:pPr>
              <w:jc w:val="center"/>
            </w:pPr>
            <w:r>
              <w:rPr>
                <w:rFonts w:ascii="Times New Roman" w:hAnsi="Times New Roman"/>
                <w:sz w:val="20"/>
              </w:rPr>
              <w:t>+250%</w:t>
            </w:r>
          </w:p>
        </w:tc>
      </w:tr>
      <w:tr>
        <w:tc>
          <w:tcPr>
            <w:tcW w:type="dxa" w:w="1568"/>
          </w:tcPr>
          <w:p>
            <w:pPr>
              <w:jc w:val="left"/>
            </w:pPr>
            <w:r>
              <w:rPr>
                <w:rFonts w:ascii="Times New Roman" w:hAnsi="Times New Roman"/>
                <w:sz w:val="20"/>
              </w:rPr>
              <w:t>QoQ Growth</w:t>
            </w:r>
          </w:p>
        </w:tc>
        <w:tc>
          <w:tcPr>
            <w:tcW w:type="dxa" w:w="1568"/>
          </w:tcPr>
          <w:p>
            <w:pPr>
              <w:jc w:val="center"/>
            </w:pPr>
            <w:r>
              <w:rPr>
                <w:rFonts w:ascii="Times New Roman" w:hAnsi="Times New Roman"/>
                <w:sz w:val="20"/>
              </w:rPr>
              <w:t>N/A</w:t>
            </w:r>
          </w:p>
        </w:tc>
        <w:tc>
          <w:tcPr>
            <w:tcW w:type="dxa" w:w="1568"/>
          </w:tcPr>
          <w:p>
            <w:pPr>
              <w:jc w:val="center"/>
            </w:pPr>
            <w:r>
              <w:rPr>
                <w:rFonts w:ascii="Times New Roman" w:hAnsi="Times New Roman"/>
                <w:sz w:val="20"/>
              </w:rPr>
              <w:t>-1%</w:t>
            </w:r>
          </w:p>
        </w:tc>
        <w:tc>
          <w:tcPr>
            <w:tcW w:type="dxa" w:w="1568"/>
          </w:tcPr>
          <w:p>
            <w:pPr>
              <w:jc w:val="center"/>
            </w:pPr>
            <w:r>
              <w:rPr>
                <w:rFonts w:ascii="Times New Roman" w:hAnsi="Times New Roman"/>
                <w:sz w:val="20"/>
              </w:rPr>
              <w:t>+21%</w:t>
            </w:r>
          </w:p>
        </w:tc>
        <w:tc>
          <w:tcPr>
            <w:tcW w:type="dxa" w:w="1568"/>
          </w:tcPr>
          <w:p>
            <w:pPr>
              <w:jc w:val="center"/>
            </w:pPr>
            <w:r>
              <w:rPr>
                <w:rFonts w:ascii="Times New Roman" w:hAnsi="Times New Roman"/>
                <w:sz w:val="20"/>
              </w:rPr>
              <w:t>+48%</w:t>
            </w:r>
          </w:p>
        </w:tc>
        <w:tc>
          <w:tcPr>
            <w:tcW w:type="dxa" w:w="1568"/>
          </w:tcPr>
          <w:p>
            <w:pPr>
              <w:jc w:val="center"/>
            </w:pPr>
            <w:r>
              <w:rPr>
                <w:rFonts w:ascii="Times New Roman" w:hAnsi="Times New Roman"/>
                <w:sz w:val="20"/>
              </w:rPr>
              <w:t>+97%</w:t>
            </w:r>
          </w:p>
        </w:tc>
      </w:tr>
    </w:tbl>
    <w:p>
      <w:pPr>
        <w:spacing w:after="240"/>
      </w:pPr>
      <w:r>
        <w:rPr>
          <w:rFonts w:ascii="Times New Roman" w:hAnsi="Times New Roman"/>
          <w:b w:val="0"/>
          <w:i/>
          <w:color w:val="777777"/>
          <w:sz w:val="16"/>
        </w:rPr>
        <w:t>Source: Applied Digital quarterly earnings releases (Q2 FY2025 through Q2 FY2026)</w:t>
      </w:r>
    </w:p>
    <w:p>
      <w:pPr>
        <w:jc w:val="center"/>
      </w:pPr>
      <w:r>
        <w:drawing>
          <wp:inline xmlns:a="http://schemas.openxmlformats.org/drawingml/2006/main" xmlns:pic="http://schemas.openxmlformats.org/drawingml/2006/picture">
            <wp:extent cx="5029200" cy="3654648"/>
            <wp:docPr id="2" name="Picture 2"/>
            <wp:cNvGraphicFramePr>
              <a:graphicFrameLocks noChangeAspect="1"/>
            </wp:cNvGraphicFramePr>
            <a:graphic>
              <a:graphicData uri="http://schemas.openxmlformats.org/drawingml/2006/picture">
                <pic:pic>
                  <pic:nvPicPr>
                    <pic:cNvPr id="0" name="chart3_segment_revenue.png"/>
                    <pic:cNvPicPr/>
                  </pic:nvPicPr>
                  <pic:blipFill>
                    <a:blip r:embed="rId10"/>
                    <a:stretch>
                      <a:fillRect/>
                    </a:stretch>
                  </pic:blipFill>
                  <pic:spPr>
                    <a:xfrm>
                      <a:off x="0" y="0"/>
                      <a:ext cx="5029200" cy="3654648"/>
                    </a:xfrm>
                    <a:prstGeom prst="rect"/>
                  </pic:spPr>
                </pic:pic>
              </a:graphicData>
            </a:graphic>
          </wp:inline>
        </w:drawing>
      </w:r>
    </w:p>
    <w:p>
      <w:pPr>
        <w:spacing w:after="240"/>
        <w:jc w:val="center"/>
      </w:pPr>
      <w:r>
        <w:rPr>
          <w:rFonts w:ascii="Times New Roman" w:hAnsi="Times New Roman"/>
          <w:b w:val="0"/>
          <w:i/>
          <w:color w:val="777777"/>
          <w:sz w:val="18"/>
        </w:rPr>
        <w:t>Figure 2: Revenue by Segment — HPC Hosting Now the Dominant Revenue Driver</w:t>
      </w:r>
    </w:p>
    <w:p>
      <w:pPr>
        <w:pStyle w:val="Heading2"/>
      </w:pPr>
      <w:r>
        <w:rPr>
          <w:rFonts w:ascii="Times New Roman" w:hAnsi="Times New Roman"/>
          <w:color w:val="17365D"/>
        </w:rPr>
        <w:t>Profitability Analysis</w:t>
      </w:r>
    </w:p>
    <w:p>
      <w:pPr>
        <w:spacing w:after="120"/>
      </w:pPr>
      <w:r>
        <w:rPr>
          <w:rFonts w:ascii="Times New Roman" w:hAnsi="Times New Roman"/>
          <w:b w:val="0"/>
          <w:i w:val="0"/>
          <w:color w:val="000000"/>
          <w:sz w:val="22"/>
        </w:rPr>
        <w:t>Gross profit rose +126% YoY to $26.0 million, though gross margin compressed to 20.5% from 32.5% in Q2 FY2025. This margin compression was entirely expected and reflects the revenue mix shift: fit-out/equipment installation services carry mid-single-digit margins, while the still-small recurring lease revenue is much higher margin. As more MW come online and lease revenue scales, blended margins should converge toward peer levels of 50-60%.</w:t>
      </w:r>
    </w:p>
    <w:p>
      <w:pPr>
        <w:spacing w:after="120"/>
      </w:pPr>
      <w:r>
        <w:rPr>
          <w:rFonts w:ascii="Times New Roman" w:hAnsi="Times New Roman"/>
          <w:b w:val="0"/>
          <w:i w:val="0"/>
          <w:color w:val="000000"/>
          <w:sz w:val="22"/>
        </w:rPr>
        <w:t>Adjusted EBITDA of $20.2 million (+231% YoY from $6.1M) demonstrates improving operating leverage even with the margin drag from fit-out services. Adjusted EBITDA margin held at 16.0%, roughly in line with Q1 FY2026's 17.9%, as the company absorbed significant SG&amp;A growth ($57.0M, +119% YoY) to support the buildout.</w:t>
      </w:r>
    </w:p>
    <w:p>
      <w:pPr>
        <w:spacing w:after="120"/>
      </w:pPr>
      <w:r>
        <w:rPr>
          <w:rFonts w:ascii="Times New Roman" w:hAnsi="Times New Roman"/>
          <w:b w:val="0"/>
          <w:i w:val="0"/>
          <w:color w:val="000000"/>
          <w:sz w:val="22"/>
        </w:rPr>
        <w:t>GAAP net loss narrowed dramatically to $31.2 million from $130.6 million in Q2 FY2025 (-76% improvement). Adjusted net income was approximately breakeven at $0.1 million — the company's first quarter near profitability on an adjusted basis.</w:t>
      </w:r>
    </w:p>
    <w:p>
      <w:pPr>
        <w:jc w:val="center"/>
      </w:pPr>
      <w:r>
        <w:drawing>
          <wp:inline xmlns:a="http://schemas.openxmlformats.org/drawingml/2006/main" xmlns:pic="http://schemas.openxmlformats.org/drawingml/2006/picture">
            <wp:extent cx="5029200" cy="3699767"/>
            <wp:docPr id="3" name="Picture 3"/>
            <wp:cNvGraphicFramePr>
              <a:graphicFrameLocks noChangeAspect="1"/>
            </wp:cNvGraphicFramePr>
            <a:graphic>
              <a:graphicData uri="http://schemas.openxmlformats.org/drawingml/2006/picture">
                <pic:pic>
                  <pic:nvPicPr>
                    <pic:cNvPr id="0" name="chart4_ebitda.png"/>
                    <pic:cNvPicPr/>
                  </pic:nvPicPr>
                  <pic:blipFill>
                    <a:blip r:embed="rId11"/>
                    <a:stretch>
                      <a:fillRect/>
                    </a:stretch>
                  </pic:blipFill>
                  <pic:spPr>
                    <a:xfrm>
                      <a:off x="0" y="0"/>
                      <a:ext cx="5029200" cy="3699767"/>
                    </a:xfrm>
                    <a:prstGeom prst="rect"/>
                  </pic:spPr>
                </pic:pic>
              </a:graphicData>
            </a:graphic>
          </wp:inline>
        </w:drawing>
      </w:r>
    </w:p>
    <w:p>
      <w:pPr>
        <w:spacing w:after="240"/>
        <w:jc w:val="center"/>
      </w:pPr>
      <w:r>
        <w:rPr>
          <w:rFonts w:ascii="Times New Roman" w:hAnsi="Times New Roman"/>
          <w:b w:val="0"/>
          <w:i/>
          <w:color w:val="777777"/>
          <w:sz w:val="18"/>
        </w:rPr>
        <w:t>Figure 3: Adjusted EBITDA — Accelerating Despite Mix Headwinds</w:t>
      </w:r>
    </w:p>
    <w:p>
      <w:pPr>
        <w:jc w:val="center"/>
      </w:pPr>
      <w:r>
        <w:drawing>
          <wp:inline xmlns:a="http://schemas.openxmlformats.org/drawingml/2006/main" xmlns:pic="http://schemas.openxmlformats.org/drawingml/2006/picture">
            <wp:extent cx="5029200" cy="3555185"/>
            <wp:docPr id="4" name="Picture 4"/>
            <wp:cNvGraphicFramePr>
              <a:graphicFrameLocks noChangeAspect="1"/>
            </wp:cNvGraphicFramePr>
            <a:graphic>
              <a:graphicData uri="http://schemas.openxmlformats.org/drawingml/2006/picture">
                <pic:pic>
                  <pic:nvPicPr>
                    <pic:cNvPr id="0" name="chart5_margins.png"/>
                    <pic:cNvPicPr/>
                  </pic:nvPicPr>
                  <pic:blipFill>
                    <a:blip r:embed="rId12"/>
                    <a:stretch>
                      <a:fillRect/>
                    </a:stretch>
                  </pic:blipFill>
                  <pic:spPr>
                    <a:xfrm>
                      <a:off x="0" y="0"/>
                      <a:ext cx="5029200" cy="3555185"/>
                    </a:xfrm>
                    <a:prstGeom prst="rect"/>
                  </pic:spPr>
                </pic:pic>
              </a:graphicData>
            </a:graphic>
          </wp:inline>
        </w:drawing>
      </w:r>
    </w:p>
    <w:p>
      <w:pPr>
        <w:spacing w:after="240"/>
        <w:jc w:val="center"/>
      </w:pPr>
      <w:r>
        <w:rPr>
          <w:rFonts w:ascii="Times New Roman" w:hAnsi="Times New Roman"/>
          <w:b w:val="0"/>
          <w:i/>
          <w:color w:val="777777"/>
          <w:sz w:val="18"/>
        </w:rPr>
        <w:t>Figure 4: Margin Trends — Temporary Compression from Low-Margin Fit-Out Services</w:t>
      </w:r>
    </w:p>
    <w:p>
      <w:r>
        <w:br w:type="page"/>
      </w:r>
    </w:p>
    <w:p>
      <w:pPr>
        <w:pStyle w:val="Heading1"/>
      </w:pPr>
      <w:r>
        <w:rPr>
          <w:rFonts w:ascii="Times New Roman" w:hAnsi="Times New Roman"/>
          <w:color w:val="17365D"/>
        </w:rPr>
        <w:t>Key Metrics &amp; Guidance</w:t>
      </w:r>
    </w:p>
    <w:p>
      <w:pPr>
        <w:pStyle w:val="Heading2"/>
      </w:pPr>
      <w:r>
        <w:rPr>
          <w:rFonts w:ascii="Times New Roman" w:hAnsi="Times New Roman"/>
          <w:color w:val="17365D"/>
        </w:rPr>
        <w:t>HPC Revenue Composition</w:t>
      </w:r>
    </w:p>
    <w:p>
      <w:pPr>
        <w:spacing w:after="120"/>
      </w:pPr>
      <w:r>
        <w:rPr>
          <w:rFonts w:ascii="Times New Roman" w:hAnsi="Times New Roman"/>
          <w:b w:val="0"/>
          <w:i w:val="0"/>
          <w:color w:val="000000"/>
          <w:sz w:val="22"/>
        </w:rPr>
        <w:t>Understanding the composition of HPC Hosting revenue is critical to the thesis. Of the $85.0 million in Q2 FY2026 HPC revenue, $73 million (86%) came from one-time fit-out and equipment installation services. These carry mid-single-digit margins and will decline in proportion as the buildout progresses. The remaining $12 million (14%) represents the beginning of recurring lease revenue — the high-margin, contracted revenue stream that underpins the long-term investment case.</w:t>
      </w:r>
    </w:p>
    <w:p>
      <w:pPr>
        <w:jc w:val="center"/>
      </w:pPr>
      <w:r>
        <w:drawing>
          <wp:inline xmlns:a="http://schemas.openxmlformats.org/drawingml/2006/main" xmlns:pic="http://schemas.openxmlformats.org/drawingml/2006/picture">
            <wp:extent cx="5029200" cy="4111848"/>
            <wp:docPr id="5" name="Picture 5"/>
            <wp:cNvGraphicFramePr>
              <a:graphicFrameLocks noChangeAspect="1"/>
            </wp:cNvGraphicFramePr>
            <a:graphic>
              <a:graphicData uri="http://schemas.openxmlformats.org/drawingml/2006/picture">
                <pic:pic>
                  <pic:nvPicPr>
                    <pic:cNvPr id="0" name="chart6_hpc_breakdown.png"/>
                    <pic:cNvPicPr/>
                  </pic:nvPicPr>
                  <pic:blipFill>
                    <a:blip r:embed="rId13"/>
                    <a:stretch>
                      <a:fillRect/>
                    </a:stretch>
                  </pic:blipFill>
                  <pic:spPr>
                    <a:xfrm>
                      <a:off x="0" y="0"/>
                      <a:ext cx="5029200" cy="4111848"/>
                    </a:xfrm>
                    <a:prstGeom prst="rect"/>
                  </pic:spPr>
                </pic:pic>
              </a:graphicData>
            </a:graphic>
          </wp:inline>
        </w:drawing>
      </w:r>
    </w:p>
    <w:p>
      <w:pPr>
        <w:spacing w:after="240"/>
        <w:jc w:val="center"/>
      </w:pPr>
      <w:r>
        <w:rPr>
          <w:rFonts w:ascii="Times New Roman" w:hAnsi="Times New Roman"/>
          <w:b w:val="0"/>
          <w:i/>
          <w:color w:val="777777"/>
          <w:sz w:val="18"/>
        </w:rPr>
        <w:t>Figure 5: Q2 FY2026 HPC Hosting Revenue — Fit-Out vs. Recurring Lease</w:t>
      </w:r>
    </w:p>
    <w:p>
      <w:pPr>
        <w:pStyle w:val="Heading2"/>
      </w:pPr>
      <w:r>
        <w:rPr>
          <w:rFonts w:ascii="Times New Roman" w:hAnsi="Times New Roman"/>
          <w:color w:val="17365D"/>
        </w:rPr>
        <w:t>Data Center Capacity Pipeline</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20"/>
              </w:rPr>
              <w:t>Facility</w:t>
            </w:r>
          </w:p>
        </w:tc>
        <w:tc>
          <w:tcPr>
            <w:tcW w:type="dxa" w:w="1568"/>
          </w:tcPr>
          <w:p>
            <w:pPr>
              <w:jc w:val="center"/>
            </w:pPr>
            <w:r>
              <w:rPr>
                <w:rFonts w:ascii="Times New Roman" w:hAnsi="Times New Roman"/>
                <w:b/>
                <w:sz w:val="20"/>
              </w:rPr>
              <w:t>Customer</w:t>
            </w:r>
          </w:p>
        </w:tc>
        <w:tc>
          <w:tcPr>
            <w:tcW w:type="dxa" w:w="1568"/>
          </w:tcPr>
          <w:p>
            <w:pPr>
              <w:jc w:val="center"/>
            </w:pPr>
            <w:r>
              <w:rPr>
                <w:rFonts w:ascii="Times New Roman" w:hAnsi="Times New Roman"/>
                <w:b/>
                <w:sz w:val="20"/>
              </w:rPr>
              <w:t>Total Capacity</w:t>
            </w:r>
          </w:p>
        </w:tc>
        <w:tc>
          <w:tcPr>
            <w:tcW w:type="dxa" w:w="1568"/>
          </w:tcPr>
          <w:p>
            <w:pPr>
              <w:jc w:val="center"/>
            </w:pPr>
            <w:r>
              <w:rPr>
                <w:rFonts w:ascii="Times New Roman" w:hAnsi="Times New Roman"/>
                <w:b/>
                <w:sz w:val="20"/>
              </w:rPr>
              <w:t>Operational</w:t>
            </w:r>
          </w:p>
        </w:tc>
        <w:tc>
          <w:tcPr>
            <w:tcW w:type="dxa" w:w="1568"/>
          </w:tcPr>
          <w:p>
            <w:pPr>
              <w:jc w:val="center"/>
            </w:pPr>
            <w:r>
              <w:rPr>
                <w:rFonts w:ascii="Times New Roman" w:hAnsi="Times New Roman"/>
                <w:b/>
                <w:sz w:val="20"/>
              </w:rPr>
              <w:t>Status</w:t>
            </w:r>
          </w:p>
        </w:tc>
        <w:tc>
          <w:tcPr>
            <w:tcW w:type="dxa" w:w="1568"/>
          </w:tcPr>
          <w:p>
            <w:pPr>
              <w:jc w:val="center"/>
            </w:pPr>
            <w:r>
              <w:rPr>
                <w:rFonts w:ascii="Times New Roman" w:hAnsi="Times New Roman"/>
                <w:b/>
                <w:sz w:val="20"/>
              </w:rPr>
              <w:t>Contracted Revenue</w:t>
            </w:r>
          </w:p>
        </w:tc>
      </w:tr>
      <w:tr>
        <w:tc>
          <w:tcPr>
            <w:tcW w:type="dxa" w:w="1568"/>
          </w:tcPr>
          <w:p>
            <w:pPr>
              <w:jc w:val="left"/>
            </w:pPr>
            <w:r>
              <w:rPr>
                <w:rFonts w:ascii="Times New Roman" w:hAnsi="Times New Roman"/>
                <w:sz w:val="20"/>
              </w:rPr>
              <w:t>Polaris Forge 1 (ELN-02)</w:t>
            </w:r>
          </w:p>
        </w:tc>
        <w:tc>
          <w:tcPr>
            <w:tcW w:type="dxa" w:w="1568"/>
          </w:tcPr>
          <w:p>
            <w:pPr>
              <w:jc w:val="center"/>
            </w:pPr>
            <w:r>
              <w:rPr>
                <w:rFonts w:ascii="Times New Roman" w:hAnsi="Times New Roman"/>
                <w:sz w:val="20"/>
              </w:rPr>
              <w:t>CoreWeave</w:t>
            </w:r>
          </w:p>
        </w:tc>
        <w:tc>
          <w:tcPr>
            <w:tcW w:type="dxa" w:w="1568"/>
          </w:tcPr>
          <w:p>
            <w:pPr>
              <w:jc w:val="center"/>
            </w:pPr>
            <w:r>
              <w:rPr>
                <w:rFonts w:ascii="Times New Roman" w:hAnsi="Times New Roman"/>
                <w:sz w:val="20"/>
              </w:rPr>
              <w:t>100 MW</w:t>
            </w:r>
          </w:p>
        </w:tc>
        <w:tc>
          <w:tcPr>
            <w:tcW w:type="dxa" w:w="1568"/>
          </w:tcPr>
          <w:p>
            <w:pPr>
              <w:jc w:val="center"/>
            </w:pPr>
            <w:r>
              <w:rPr>
                <w:rFonts w:ascii="Times New Roman" w:hAnsi="Times New Roman"/>
                <w:sz w:val="20"/>
              </w:rPr>
              <w:t>100 MW</w:t>
            </w:r>
          </w:p>
        </w:tc>
        <w:tc>
          <w:tcPr>
            <w:tcW w:type="dxa" w:w="1568"/>
          </w:tcPr>
          <w:p>
            <w:pPr>
              <w:jc w:val="center"/>
            </w:pPr>
            <w:r>
              <w:rPr>
                <w:rFonts w:ascii="Times New Roman" w:hAnsi="Times New Roman"/>
                <w:sz w:val="20"/>
              </w:rPr>
              <w:t>Operational</w:t>
            </w:r>
          </w:p>
        </w:tc>
        <w:tc>
          <w:tcPr>
            <w:tcW w:type="dxa" w:w="1568"/>
          </w:tcPr>
          <w:p>
            <w:pPr>
              <w:jc w:val="center"/>
            </w:pPr>
            <w:r>
              <w:rPr>
                <w:rFonts w:ascii="Times New Roman" w:hAnsi="Times New Roman"/>
                <w:sz w:val="20"/>
              </w:rPr>
              <w:t>~$4B (15-yr)</w:t>
            </w:r>
          </w:p>
        </w:tc>
      </w:tr>
      <w:tr>
        <w:tc>
          <w:tcPr>
            <w:tcW w:type="dxa" w:w="1568"/>
          </w:tcPr>
          <w:p>
            <w:pPr>
              <w:jc w:val="left"/>
            </w:pPr>
            <w:r>
              <w:rPr>
                <w:rFonts w:ascii="Times New Roman" w:hAnsi="Times New Roman"/>
                <w:sz w:val="20"/>
              </w:rPr>
              <w:t>Polaris Forge 1 (ELN-03)</w:t>
            </w:r>
          </w:p>
        </w:tc>
        <w:tc>
          <w:tcPr>
            <w:tcW w:type="dxa" w:w="1568"/>
          </w:tcPr>
          <w:p>
            <w:pPr>
              <w:jc w:val="center"/>
            </w:pPr>
            <w:r>
              <w:rPr>
                <w:rFonts w:ascii="Times New Roman" w:hAnsi="Times New Roman"/>
                <w:sz w:val="20"/>
              </w:rPr>
              <w:t>CoreWeave</w:t>
            </w:r>
          </w:p>
        </w:tc>
        <w:tc>
          <w:tcPr>
            <w:tcW w:type="dxa" w:w="1568"/>
          </w:tcPr>
          <w:p>
            <w:pPr>
              <w:jc w:val="center"/>
            </w:pPr>
            <w:r>
              <w:rPr>
                <w:rFonts w:ascii="Times New Roman" w:hAnsi="Times New Roman"/>
                <w:sz w:val="20"/>
              </w:rPr>
              <w:t>150 MW</w:t>
            </w:r>
          </w:p>
        </w:tc>
        <w:tc>
          <w:tcPr>
            <w:tcW w:type="dxa" w:w="1568"/>
          </w:tcPr>
          <w:p>
            <w:pPr>
              <w:jc w:val="center"/>
            </w:pPr>
            <w:r>
              <w:rPr>
                <w:rFonts w:ascii="Times New Roman" w:hAnsi="Times New Roman"/>
                <w:sz w:val="20"/>
              </w:rPr>
              <w:t>0 MW</w:t>
            </w:r>
          </w:p>
        </w:tc>
        <w:tc>
          <w:tcPr>
            <w:tcW w:type="dxa" w:w="1568"/>
          </w:tcPr>
          <w:p>
            <w:pPr>
              <w:jc w:val="center"/>
            </w:pPr>
            <w:r>
              <w:rPr>
                <w:rFonts w:ascii="Times New Roman" w:hAnsi="Times New Roman"/>
                <w:sz w:val="20"/>
              </w:rPr>
              <w:t>Under Construction</w:t>
            </w:r>
          </w:p>
        </w:tc>
        <w:tc>
          <w:tcPr>
            <w:tcW w:type="dxa" w:w="1568"/>
          </w:tcPr>
          <w:p>
            <w:pPr>
              <w:jc w:val="center"/>
            </w:pPr>
            <w:r>
              <w:rPr>
                <w:rFonts w:ascii="Times New Roman" w:hAnsi="Times New Roman"/>
                <w:sz w:val="20"/>
              </w:rPr>
              <w:t>~$3.5B (15-yr)</w:t>
            </w:r>
          </w:p>
        </w:tc>
      </w:tr>
      <w:tr>
        <w:tc>
          <w:tcPr>
            <w:tcW w:type="dxa" w:w="1568"/>
          </w:tcPr>
          <w:p>
            <w:pPr>
              <w:jc w:val="left"/>
            </w:pPr>
            <w:r>
              <w:rPr>
                <w:rFonts w:ascii="Times New Roman" w:hAnsi="Times New Roman"/>
                <w:sz w:val="20"/>
              </w:rPr>
              <w:t>Polaris Forge 1 (Remaining)</w:t>
            </w:r>
          </w:p>
        </w:tc>
        <w:tc>
          <w:tcPr>
            <w:tcW w:type="dxa" w:w="1568"/>
          </w:tcPr>
          <w:p>
            <w:pPr>
              <w:jc w:val="center"/>
            </w:pPr>
            <w:r>
              <w:rPr>
                <w:rFonts w:ascii="Times New Roman" w:hAnsi="Times New Roman"/>
                <w:sz w:val="20"/>
              </w:rPr>
              <w:t>CoreWeave</w:t>
            </w:r>
          </w:p>
        </w:tc>
        <w:tc>
          <w:tcPr>
            <w:tcW w:type="dxa" w:w="1568"/>
          </w:tcPr>
          <w:p>
            <w:pPr>
              <w:jc w:val="center"/>
            </w:pPr>
            <w:r>
              <w:rPr>
                <w:rFonts w:ascii="Times New Roman" w:hAnsi="Times New Roman"/>
                <w:sz w:val="20"/>
              </w:rPr>
              <w:t>150 MW</w:t>
            </w:r>
          </w:p>
        </w:tc>
        <w:tc>
          <w:tcPr>
            <w:tcW w:type="dxa" w:w="1568"/>
          </w:tcPr>
          <w:p>
            <w:pPr>
              <w:jc w:val="center"/>
            </w:pPr>
            <w:r>
              <w:rPr>
                <w:rFonts w:ascii="Times New Roman" w:hAnsi="Times New Roman"/>
                <w:sz w:val="20"/>
              </w:rPr>
              <w:t>0 MW</w:t>
            </w:r>
          </w:p>
        </w:tc>
        <w:tc>
          <w:tcPr>
            <w:tcW w:type="dxa" w:w="1568"/>
          </w:tcPr>
          <w:p>
            <w:pPr>
              <w:jc w:val="center"/>
            </w:pPr>
            <w:r>
              <w:rPr>
                <w:rFonts w:ascii="Times New Roman" w:hAnsi="Times New Roman"/>
                <w:sz w:val="20"/>
              </w:rPr>
              <w:t>Contracted</w:t>
            </w:r>
          </w:p>
        </w:tc>
        <w:tc>
          <w:tcPr>
            <w:tcW w:type="dxa" w:w="1568"/>
          </w:tcPr>
          <w:p>
            <w:pPr>
              <w:jc w:val="center"/>
            </w:pPr>
            <w:r>
              <w:rPr>
                <w:rFonts w:ascii="Times New Roman" w:hAnsi="Times New Roman"/>
                <w:sz w:val="20"/>
              </w:rPr>
              <w:t>~$3.5B (15-yr)</w:t>
            </w:r>
          </w:p>
        </w:tc>
      </w:tr>
      <w:tr>
        <w:tc>
          <w:tcPr>
            <w:tcW w:type="dxa" w:w="1568"/>
          </w:tcPr>
          <w:p>
            <w:pPr>
              <w:jc w:val="left"/>
            </w:pPr>
            <w:r>
              <w:rPr>
                <w:rFonts w:ascii="Times New Roman" w:hAnsi="Times New Roman"/>
                <w:sz w:val="20"/>
              </w:rPr>
              <w:t>Polaris Forge 2</w:t>
            </w:r>
          </w:p>
        </w:tc>
        <w:tc>
          <w:tcPr>
            <w:tcW w:type="dxa" w:w="1568"/>
          </w:tcPr>
          <w:p>
            <w:pPr>
              <w:jc w:val="center"/>
            </w:pPr>
            <w:r>
              <w:rPr>
                <w:rFonts w:ascii="Times New Roman" w:hAnsi="Times New Roman"/>
                <w:sz w:val="20"/>
              </w:rPr>
              <w:t>U.S. Hyperscaler</w:t>
            </w:r>
          </w:p>
        </w:tc>
        <w:tc>
          <w:tcPr>
            <w:tcW w:type="dxa" w:w="1568"/>
          </w:tcPr>
          <w:p>
            <w:pPr>
              <w:jc w:val="center"/>
            </w:pPr>
            <w:r>
              <w:rPr>
                <w:rFonts w:ascii="Times New Roman" w:hAnsi="Times New Roman"/>
                <w:sz w:val="20"/>
              </w:rPr>
              <w:t>200 MW</w:t>
            </w:r>
          </w:p>
        </w:tc>
        <w:tc>
          <w:tcPr>
            <w:tcW w:type="dxa" w:w="1568"/>
          </w:tcPr>
          <w:p>
            <w:pPr>
              <w:jc w:val="center"/>
            </w:pPr>
            <w:r>
              <w:rPr>
                <w:rFonts w:ascii="Times New Roman" w:hAnsi="Times New Roman"/>
                <w:sz w:val="20"/>
              </w:rPr>
              <w:t>0 MW</w:t>
            </w:r>
          </w:p>
        </w:tc>
        <w:tc>
          <w:tcPr>
            <w:tcW w:type="dxa" w:w="1568"/>
          </w:tcPr>
          <w:p>
            <w:pPr>
              <w:jc w:val="center"/>
            </w:pPr>
            <w:r>
              <w:rPr>
                <w:rFonts w:ascii="Times New Roman" w:hAnsi="Times New Roman"/>
                <w:sz w:val="20"/>
              </w:rPr>
              <w:t>Contracted</w:t>
            </w:r>
          </w:p>
        </w:tc>
        <w:tc>
          <w:tcPr>
            <w:tcW w:type="dxa" w:w="1568"/>
          </w:tcPr>
          <w:p>
            <w:pPr>
              <w:jc w:val="center"/>
            </w:pPr>
            <w:r>
              <w:rPr>
                <w:rFonts w:ascii="Times New Roman" w:hAnsi="Times New Roman"/>
                <w:sz w:val="20"/>
              </w:rPr>
              <w:t>$5B (15-yr)</w:t>
            </w:r>
          </w:p>
        </w:tc>
      </w:tr>
      <w:tr>
        <w:tc>
          <w:tcPr>
            <w:tcW w:type="dxa" w:w="1568"/>
          </w:tcPr>
          <w:p>
            <w:pPr>
              <w:jc w:val="left"/>
            </w:pPr>
            <w:r>
              <w:rPr>
                <w:rFonts w:ascii="Times New Roman" w:hAnsi="Times New Roman"/>
                <w:sz w:val="20"/>
              </w:rPr>
              <w:t>Total</w:t>
            </w:r>
          </w:p>
        </w:tc>
        <w:tc>
          <w:tcPr>
            <w:tcW w:type="dxa" w:w="1568"/>
          </w:tcPr>
          <w:p>
            <w:pPr>
              <w:jc w:val="center"/>
            </w:pPr>
            <w:r>
              <w:rPr>
                <w:rFonts w:ascii="Times New Roman" w:hAnsi="Times New Roman"/>
                <w:sz w:val="20"/>
              </w:rPr>
            </w:r>
          </w:p>
        </w:tc>
        <w:tc>
          <w:tcPr>
            <w:tcW w:type="dxa" w:w="1568"/>
          </w:tcPr>
          <w:p>
            <w:pPr>
              <w:jc w:val="center"/>
            </w:pPr>
            <w:r>
              <w:rPr>
                <w:rFonts w:ascii="Times New Roman" w:hAnsi="Times New Roman"/>
                <w:sz w:val="20"/>
              </w:rPr>
              <w:t>600 MW</w:t>
            </w:r>
          </w:p>
        </w:tc>
        <w:tc>
          <w:tcPr>
            <w:tcW w:type="dxa" w:w="1568"/>
          </w:tcPr>
          <w:p>
            <w:pPr>
              <w:jc w:val="center"/>
            </w:pPr>
            <w:r>
              <w:rPr>
                <w:rFonts w:ascii="Times New Roman" w:hAnsi="Times New Roman"/>
                <w:sz w:val="20"/>
              </w:rPr>
              <w:t>100 MW</w:t>
            </w:r>
          </w:p>
        </w:tc>
        <w:tc>
          <w:tcPr>
            <w:tcW w:type="dxa" w:w="1568"/>
          </w:tcPr>
          <w:p>
            <w:pPr>
              <w:jc w:val="center"/>
            </w:pPr>
            <w:r>
              <w:rPr>
                <w:rFonts w:ascii="Times New Roman" w:hAnsi="Times New Roman"/>
                <w:sz w:val="20"/>
              </w:rPr>
            </w:r>
          </w:p>
        </w:tc>
        <w:tc>
          <w:tcPr>
            <w:tcW w:type="dxa" w:w="1568"/>
          </w:tcPr>
          <w:p>
            <w:pPr>
              <w:jc w:val="center"/>
            </w:pPr>
            <w:r>
              <w:rPr>
                <w:rFonts w:ascii="Times New Roman" w:hAnsi="Times New Roman"/>
                <w:sz w:val="20"/>
              </w:rPr>
              <w:t>~$16B</w:t>
            </w:r>
          </w:p>
        </w:tc>
      </w:tr>
    </w:tbl>
    <w:p>
      <w:pPr>
        <w:spacing w:after="240"/>
      </w:pPr>
      <w:r>
        <w:rPr>
          <w:rFonts w:ascii="Times New Roman" w:hAnsi="Times New Roman"/>
          <w:b w:val="0"/>
          <w:i/>
          <w:color w:val="777777"/>
          <w:sz w:val="16"/>
        </w:rPr>
        <w:t>Source: Applied Digital Q2 FY2026 Earnings Release; Investor Relations materials</w:t>
      </w:r>
    </w:p>
    <w:p>
      <w:pPr>
        <w:jc w:val="center"/>
      </w:pPr>
      <w:r>
        <w:drawing>
          <wp:inline xmlns:a="http://schemas.openxmlformats.org/drawingml/2006/main" xmlns:pic="http://schemas.openxmlformats.org/drawingml/2006/picture">
            <wp:extent cx="5029200" cy="3652028"/>
            <wp:docPr id="6" name="Picture 6"/>
            <wp:cNvGraphicFramePr>
              <a:graphicFrameLocks noChangeAspect="1"/>
            </wp:cNvGraphicFramePr>
            <a:graphic>
              <a:graphicData uri="http://schemas.openxmlformats.org/drawingml/2006/picture">
                <pic:pic>
                  <pic:nvPicPr>
                    <pic:cNvPr id="0" name="chart7_capacity.png"/>
                    <pic:cNvPicPr/>
                  </pic:nvPicPr>
                  <pic:blipFill>
                    <a:blip r:embed="rId14"/>
                    <a:stretch>
                      <a:fillRect/>
                    </a:stretch>
                  </pic:blipFill>
                  <pic:spPr>
                    <a:xfrm>
                      <a:off x="0" y="0"/>
                      <a:ext cx="5029200" cy="3652028"/>
                    </a:xfrm>
                    <a:prstGeom prst="rect"/>
                  </pic:spPr>
                </pic:pic>
              </a:graphicData>
            </a:graphic>
          </wp:inline>
        </w:drawing>
      </w:r>
    </w:p>
    <w:p>
      <w:pPr>
        <w:spacing w:after="240"/>
        <w:jc w:val="center"/>
      </w:pPr>
      <w:r>
        <w:rPr>
          <w:rFonts w:ascii="Times New Roman" w:hAnsi="Times New Roman"/>
          <w:b w:val="0"/>
          <w:i/>
          <w:color w:val="777777"/>
          <w:sz w:val="18"/>
        </w:rPr>
        <w:t>Figure 6: Data Center Capacity Pipeline — 600 MW Total Contracted, 100 MW Operational</w:t>
      </w:r>
    </w:p>
    <w:p>
      <w:pPr>
        <w:pStyle w:val="Heading2"/>
      </w:pPr>
      <w:r>
        <w:rPr>
          <w:rFonts w:ascii="Times New Roman" w:hAnsi="Times New Roman"/>
          <w:color w:val="17365D"/>
        </w:rPr>
        <w:t>Guidance &amp; Outlook</w:t>
      </w:r>
    </w:p>
    <w:p>
      <w:pPr>
        <w:spacing w:after="120"/>
      </w:pPr>
      <w:r>
        <w:rPr>
          <w:rFonts w:ascii="Times New Roman" w:hAnsi="Times New Roman"/>
          <w:b w:val="0"/>
          <w:i w:val="0"/>
          <w:color w:val="000000"/>
          <w:sz w:val="22"/>
        </w:rPr>
        <w:t>Management did not provide formal numerical guidance for Q3 FY2026 or full-year FY2026. Key forward-looking statements from the earnings call include:</w:t>
      </w:r>
    </w:p>
    <w:p>
      <w:pPr>
        <w:pStyle w:val="ListBullet"/>
      </w:pPr>
      <w:r>
        <w:rPr>
          <w:rFonts w:ascii="Times New Roman" w:hAnsi="Times New Roman"/>
          <w:b/>
          <w:sz w:val="22"/>
        </w:rPr>
        <w:t xml:space="preserve">NOI Target: </w:t>
      </w:r>
      <w:r>
        <w:rPr>
          <w:rFonts w:ascii="Times New Roman" w:hAnsi="Times New Roman"/>
          <w:sz w:val="22"/>
        </w:rPr>
        <w:t>$1 billion in net operating income within five years as contracted lease revenue ramps</w:t>
      </w:r>
    </w:p>
    <w:p>
      <w:pPr>
        <w:pStyle w:val="ListBullet"/>
      </w:pPr>
      <w:r>
        <w:rPr>
          <w:rFonts w:ascii="Times New Roman" w:hAnsi="Times New Roman"/>
          <w:b/>
          <w:sz w:val="22"/>
        </w:rPr>
        <w:t xml:space="preserve">Long-Term Capacity: </w:t>
      </w:r>
      <w:r>
        <w:rPr>
          <w:rFonts w:ascii="Times New Roman" w:hAnsi="Times New Roman"/>
          <w:sz w:val="22"/>
        </w:rPr>
        <w:t>5 gigawatts of capacity by 2030-2032 (vs. 600 MW contracted today)</w:t>
      </w:r>
    </w:p>
    <w:p>
      <w:pPr>
        <w:pStyle w:val="ListBullet"/>
      </w:pPr>
      <w:r>
        <w:rPr>
          <w:rFonts w:ascii="Times New Roman" w:hAnsi="Times New Roman"/>
          <w:b/>
          <w:sz w:val="22"/>
        </w:rPr>
        <w:t xml:space="preserve">Near-Term Milestone: </w:t>
      </w:r>
      <w:r>
        <w:rPr>
          <w:rFonts w:ascii="Times New Roman" w:hAnsi="Times New Roman"/>
          <w:sz w:val="22"/>
        </w:rPr>
        <w:t>Polaris Forge 1 (400 MW for CoreWeave) to be completed by end of 2027</w:t>
      </w:r>
    </w:p>
    <w:p>
      <w:pPr>
        <w:pStyle w:val="ListBullet"/>
      </w:pPr>
      <w:r>
        <w:rPr>
          <w:rFonts w:ascii="Times New Roman" w:hAnsi="Times New Roman"/>
          <w:b/>
          <w:sz w:val="22"/>
        </w:rPr>
        <w:t xml:space="preserve">Strategic Divestiture: </w:t>
      </w:r>
      <w:r>
        <w:rPr>
          <w:rFonts w:ascii="Times New Roman" w:hAnsi="Times New Roman"/>
          <w:sz w:val="22"/>
        </w:rPr>
        <w:t>ChronoScale spin-off (cloud services) expected to close H1 2026</w:t>
      </w:r>
    </w:p>
    <w:p>
      <w:pPr>
        <w:spacing w:after="120"/>
      </w:pPr>
      <w:r>
        <w:rPr>
          <w:rFonts w:ascii="Times New Roman" w:hAnsi="Times New Roman"/>
          <w:b w:val="0"/>
          <w:i w:val="0"/>
          <w:color w:val="000000"/>
          <w:sz w:val="22"/>
        </w:rPr>
        <w:t>Wall Street consensus for Q3 FY2026 (prior to the Q2 beat) was $72.6M-$90.5M in revenue and EPS of $(0.11) to $(0.13). These estimates are likely to be revised upward following the Q2 beat, particularly if fit-out services revenue continues at elevated levels.</w:t>
      </w:r>
    </w:p>
    <w:p>
      <w:r>
        <w:br w:type="page"/>
      </w:r>
    </w:p>
    <w:p>
      <w:pPr>
        <w:pStyle w:val="Heading1"/>
      </w:pPr>
      <w:r>
        <w:rPr>
          <w:rFonts w:ascii="Times New Roman" w:hAnsi="Times New Roman"/>
          <w:color w:val="17365D"/>
        </w:rPr>
        <w:t>Updated Investment Thesis</w:t>
      </w:r>
    </w:p>
    <w:p>
      <w:pPr>
        <w:pStyle w:val="Heading2"/>
      </w:pPr>
      <w:r>
        <w:rPr>
          <w:rFonts w:ascii="Times New Roman" w:hAnsi="Times New Roman"/>
          <w:color w:val="17365D"/>
        </w:rPr>
        <w:t>Thesis Pillar Assessment</w:t>
      </w:r>
    </w:p>
    <w:p>
      <w:pPr>
        <w:spacing w:after="40"/>
      </w:pPr>
      <w:r>
        <w:rPr>
          <w:rFonts w:ascii="Times New Roman" w:hAnsi="Times New Roman"/>
          <w:b/>
          <w:sz w:val="22"/>
        </w:rPr>
        <w:t xml:space="preserve">HPC/AI Infrastructure Demand: </w:t>
      </w:r>
      <w:r>
        <w:rPr>
          <w:rFonts w:ascii="Times New Roman" w:hAnsi="Times New Roman"/>
          <w:b/>
          <w:color w:val="2ECC71"/>
          <w:sz w:val="22"/>
        </w:rPr>
        <w:t>STRENGTHENED</w:t>
      </w:r>
    </w:p>
    <w:p>
      <w:pPr>
        <w:spacing w:after="200"/>
      </w:pPr>
      <w:r>
        <w:rPr>
          <w:rFonts w:ascii="Times New Roman" w:hAnsi="Times New Roman"/>
          <w:b w:val="0"/>
          <w:i w:val="0"/>
          <w:color w:val="000000"/>
          <w:sz w:val="20"/>
        </w:rPr>
        <w:t>Q2 results confirm the HPC pivot is working — $85M in HPC revenue in just the second quarter of the segment's existence. The $5B hyperscaler lease at Polaris Forge 2 validates that demand extends beyond CoreWeave to investment-grade customers. The AI infrastructure buildout cycle appears to have significant runway remaining.</w:t>
      </w:r>
    </w:p>
    <w:p>
      <w:pPr>
        <w:spacing w:after="40"/>
      </w:pPr>
      <w:r>
        <w:rPr>
          <w:rFonts w:ascii="Times New Roman" w:hAnsi="Times New Roman"/>
          <w:b/>
          <w:sz w:val="22"/>
        </w:rPr>
        <w:t xml:space="preserve">Contracted Revenue Visibility: </w:t>
      </w:r>
      <w:r>
        <w:rPr>
          <w:rFonts w:ascii="Times New Roman" w:hAnsi="Times New Roman"/>
          <w:b/>
          <w:color w:val="2ECC71"/>
          <w:sz w:val="22"/>
        </w:rPr>
        <w:t>STRENGTHENED</w:t>
      </w:r>
    </w:p>
    <w:p>
      <w:pPr>
        <w:spacing w:after="200"/>
      </w:pPr>
      <w:r>
        <w:rPr>
          <w:rFonts w:ascii="Times New Roman" w:hAnsi="Times New Roman"/>
          <w:b w:val="0"/>
          <w:i w:val="0"/>
          <w:color w:val="000000"/>
          <w:sz w:val="20"/>
        </w:rPr>
        <w:t>$16B in contracted lease revenue provides exceptional forward visibility. At ~$700M+ annual run-rate at full ramp (600 MW), the contracted backlog represents ~23 years of revenue. This is the largest backlog in the HPC data center peer group, significantly ahead of TeraWulf ($12.8B) and CIFR ($9.3B).</w:t>
      </w:r>
    </w:p>
    <w:p>
      <w:pPr>
        <w:spacing w:after="40"/>
      </w:pPr>
      <w:r>
        <w:rPr>
          <w:rFonts w:ascii="Times New Roman" w:hAnsi="Times New Roman"/>
          <w:b/>
          <w:sz w:val="22"/>
        </w:rPr>
        <w:t xml:space="preserve">Margin Expansion Trajectory: </w:t>
      </w:r>
      <w:r>
        <w:rPr>
          <w:rFonts w:ascii="Times New Roman" w:hAnsi="Times New Roman"/>
          <w:b/>
          <w:color w:val="777777"/>
          <w:sz w:val="22"/>
        </w:rPr>
        <w:t>UNCHANGED</w:t>
      </w:r>
    </w:p>
    <w:p>
      <w:pPr>
        <w:spacing w:after="200"/>
      </w:pPr>
      <w:r>
        <w:rPr>
          <w:rFonts w:ascii="Times New Roman" w:hAnsi="Times New Roman"/>
          <w:b w:val="0"/>
          <w:i w:val="0"/>
          <w:color w:val="000000"/>
          <w:sz w:val="20"/>
        </w:rPr>
        <w:t>Current 20.5% gross margin remains below peers (CORZ ~55%, IREN ~60%, WULF ~50%) but this is expected given the fit-out revenue mix. The thesis requires margins to expand as recurring lease revenue scales — Q2 did not change this expectation in either direction. The $12M in lease revenue at presumably higher margins is an early positive signal.</w:t>
      </w:r>
    </w:p>
    <w:p>
      <w:pPr>
        <w:spacing w:after="40"/>
      </w:pPr>
      <w:r>
        <w:rPr>
          <w:rFonts w:ascii="Times New Roman" w:hAnsi="Times New Roman"/>
          <w:b/>
          <w:sz w:val="22"/>
        </w:rPr>
        <w:t xml:space="preserve">Customer Concentration Risk: </w:t>
      </w:r>
      <w:r>
        <w:rPr>
          <w:rFonts w:ascii="Times New Roman" w:hAnsi="Times New Roman"/>
          <w:b/>
          <w:color w:val="2ECC71"/>
          <w:sz w:val="22"/>
        </w:rPr>
        <w:t>MODESTLY IMPROVED</w:t>
      </w:r>
    </w:p>
    <w:p>
      <w:pPr>
        <w:spacing w:after="200"/>
      </w:pPr>
      <w:r>
        <w:rPr>
          <w:rFonts w:ascii="Times New Roman" w:hAnsi="Times New Roman"/>
          <w:b w:val="0"/>
          <w:i w:val="0"/>
          <w:color w:val="000000"/>
          <w:sz w:val="20"/>
        </w:rPr>
        <w:t>CoreWeave remains the dominant customer (~$11B of $16B backlog). However, the new investment-grade hyperscaler at Polaris Forge 2 ($5B, 15 years) materially diversifies the revenue base. Further diversification would be incrementally positive.</w:t>
      </w:r>
    </w:p>
    <w:p>
      <w:pPr>
        <w:spacing w:after="40"/>
      </w:pPr>
      <w:r>
        <w:rPr>
          <w:rFonts w:ascii="Times New Roman" w:hAnsi="Times New Roman"/>
          <w:b/>
          <w:sz w:val="22"/>
        </w:rPr>
        <w:t xml:space="preserve">Balance Sheet &amp; Execution Risk: </w:t>
      </w:r>
      <w:r>
        <w:rPr>
          <w:rFonts w:ascii="Times New Roman" w:hAnsi="Times New Roman"/>
          <w:b/>
          <w:color w:val="777777"/>
          <w:sz w:val="22"/>
        </w:rPr>
        <w:t>UNCHANGED</w:t>
      </w:r>
    </w:p>
    <w:p>
      <w:pPr>
        <w:spacing w:after="200"/>
      </w:pPr>
      <w:r>
        <w:rPr>
          <w:rFonts w:ascii="Times New Roman" w:hAnsi="Times New Roman"/>
          <w:b w:val="0"/>
          <w:i w:val="0"/>
          <w:color w:val="000000"/>
          <w:sz w:val="20"/>
        </w:rPr>
        <w:t>$2.6B debt vs. $2.3B cash. The 9.25% senior secured notes create significant interest burden (~$46M/year). The $900M Macquarie preferred adds further cost. While manageable at current cash levels, the balance sheet leaves limited room for construction delays or customer issues. Execution remains the key risk.</w:t>
      </w:r>
    </w:p>
    <w:p>
      <w:pPr>
        <w:pStyle w:val="Heading2"/>
      </w:pPr>
      <w:r>
        <w:rPr>
          <w:rFonts w:ascii="Times New Roman" w:hAnsi="Times New Roman"/>
          <w:color w:val="17365D"/>
        </w:rPr>
        <w:t>Key Risks</w:t>
      </w:r>
    </w:p>
    <w:p>
      <w:pPr>
        <w:pStyle w:val="ListBullet"/>
      </w:pPr>
      <w:r>
        <w:rPr>
          <w:rFonts w:ascii="Times New Roman" w:hAnsi="Times New Roman"/>
          <w:b/>
          <w:sz w:val="22"/>
        </w:rPr>
        <w:t xml:space="preserve">Customer Concentration: </w:t>
      </w:r>
      <w:r>
        <w:rPr>
          <w:rFonts w:ascii="Times New Roman" w:hAnsi="Times New Roman"/>
          <w:sz w:val="22"/>
        </w:rPr>
        <w:t>CoreWeave concentration (~69% of backlog) — CoreWeave itself faces execution/funding risks</w:t>
      </w:r>
    </w:p>
    <w:p>
      <w:pPr>
        <w:pStyle w:val="ListBullet"/>
      </w:pPr>
      <w:r>
        <w:rPr>
          <w:rFonts w:ascii="Times New Roman" w:hAnsi="Times New Roman"/>
          <w:b/>
          <w:sz w:val="22"/>
        </w:rPr>
        <w:t xml:space="preserve">Leverage: </w:t>
      </w:r>
      <w:r>
        <w:rPr>
          <w:rFonts w:ascii="Times New Roman" w:hAnsi="Times New Roman"/>
          <w:sz w:val="22"/>
        </w:rPr>
        <w:t>9.25% senior secured notes + Macquarie preferred create ~$60M+ annual cost</w:t>
      </w:r>
    </w:p>
    <w:p>
      <w:pPr>
        <w:pStyle w:val="ListBullet"/>
      </w:pPr>
      <w:r>
        <w:rPr>
          <w:rFonts w:ascii="Times New Roman" w:hAnsi="Times New Roman"/>
          <w:b/>
          <w:sz w:val="22"/>
        </w:rPr>
        <w:t xml:space="preserve">Construction Timeline: </w:t>
      </w:r>
      <w:r>
        <w:rPr>
          <w:rFonts w:ascii="Times New Roman" w:hAnsi="Times New Roman"/>
          <w:sz w:val="22"/>
        </w:rPr>
        <w:t>Any delays in MW delivery could impact lease revenue timing</w:t>
      </w:r>
    </w:p>
    <w:p>
      <w:pPr>
        <w:pStyle w:val="ListBullet"/>
      </w:pPr>
      <w:r>
        <w:rPr>
          <w:rFonts w:ascii="Times New Roman" w:hAnsi="Times New Roman"/>
          <w:b/>
          <w:sz w:val="22"/>
        </w:rPr>
        <w:t xml:space="preserve">Revenue Lumpiness: </w:t>
      </w:r>
      <w:r>
        <w:rPr>
          <w:rFonts w:ascii="Times New Roman" w:hAnsi="Times New Roman"/>
          <w:sz w:val="22"/>
        </w:rPr>
        <w:t>Fit-out services are project-based and will be lumpy quarter to quarter</w:t>
      </w:r>
    </w:p>
    <w:p>
      <w:pPr>
        <w:pStyle w:val="ListBullet"/>
      </w:pPr>
      <w:r>
        <w:rPr>
          <w:rFonts w:ascii="Times New Roman" w:hAnsi="Times New Roman"/>
          <w:b/>
          <w:sz w:val="22"/>
        </w:rPr>
        <w:t xml:space="preserve">Dilution: </w:t>
      </w:r>
      <w:r>
        <w:rPr>
          <w:rFonts w:ascii="Times New Roman" w:hAnsi="Times New Roman"/>
          <w:sz w:val="22"/>
        </w:rPr>
        <w:t>~279M shares outstanding with potential dilution from future capital raises</w:t>
      </w:r>
    </w:p>
    <w:p>
      <w:pPr>
        <w:jc w:val="center"/>
      </w:pPr>
      <w:r>
        <w:drawing>
          <wp:inline xmlns:a="http://schemas.openxmlformats.org/drawingml/2006/main" xmlns:pic="http://schemas.openxmlformats.org/drawingml/2006/picture">
            <wp:extent cx="5029200" cy="3537902"/>
            <wp:docPr id="7" name="Picture 7"/>
            <wp:cNvGraphicFramePr>
              <a:graphicFrameLocks noChangeAspect="1"/>
            </wp:cNvGraphicFramePr>
            <a:graphic>
              <a:graphicData uri="http://schemas.openxmlformats.org/drawingml/2006/picture">
                <pic:pic>
                  <pic:nvPicPr>
                    <pic:cNvPr id="0" name="chart8_forward_revenue.png"/>
                    <pic:cNvPicPr/>
                  </pic:nvPicPr>
                  <pic:blipFill>
                    <a:blip r:embed="rId15"/>
                    <a:stretch>
                      <a:fillRect/>
                    </a:stretch>
                  </pic:blipFill>
                  <pic:spPr>
                    <a:xfrm>
                      <a:off x="0" y="0"/>
                      <a:ext cx="5029200" cy="3537902"/>
                    </a:xfrm>
                    <a:prstGeom prst="rect"/>
                  </pic:spPr>
                </pic:pic>
              </a:graphicData>
            </a:graphic>
          </wp:inline>
        </w:drawing>
      </w:r>
    </w:p>
    <w:p>
      <w:pPr>
        <w:spacing w:after="240"/>
        <w:jc w:val="center"/>
      </w:pPr>
      <w:r>
        <w:rPr>
          <w:rFonts w:ascii="Times New Roman" w:hAnsi="Times New Roman"/>
          <w:b w:val="0"/>
          <w:i/>
          <w:color w:val="777777"/>
          <w:sz w:val="18"/>
        </w:rPr>
        <w:t>Figure 7: Revenue Trajectory — Consensus Estimates Imply Continued Hypergrowth</w:t>
      </w:r>
    </w:p>
    <w:p>
      <w:r>
        <w:br w:type="page"/>
      </w:r>
    </w:p>
    <w:p>
      <w:pPr>
        <w:pStyle w:val="Heading1"/>
      </w:pPr>
      <w:r>
        <w:rPr>
          <w:rFonts w:ascii="Times New Roman" w:hAnsi="Times New Roman"/>
          <w:color w:val="17365D"/>
        </w:rPr>
        <w:t>Valuation &amp; Estimates</w:t>
      </w:r>
    </w:p>
    <w:p>
      <w:pPr>
        <w:pStyle w:val="Heading2"/>
      </w:pPr>
      <w:r>
        <w:rPr>
          <w:rFonts w:ascii="Times New Roman" w:hAnsi="Times New Roman"/>
          <w:color w:val="17365D"/>
        </w:rPr>
        <w:t>Peer Valuation Comparison</w:t>
      </w:r>
    </w:p>
    <w:p>
      <w:pPr>
        <w:spacing w:after="120"/>
      </w:pPr>
      <w:r>
        <w:rPr>
          <w:rFonts w:ascii="Times New Roman" w:hAnsi="Times New Roman"/>
          <w:b w:val="0"/>
          <w:i w:val="0"/>
          <w:color w:val="000000"/>
          <w:sz w:val="22"/>
        </w:rPr>
        <w:t>APLD trades at 25.1x FY2026E revenue, roughly in line with the peer median of 23.6x. This is appropriate given APLD's industry-leading $16B contracted backlog, partially offset by lower current margins and higher leverage than peers. If APLD can demonstrate margin expansion toward the 50%+ gross margin levels achieved by CORZ and IREN, there is upside to multiples.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0"/>
              </w:rPr>
              <w:t>Company</w:t>
            </w:r>
          </w:p>
        </w:tc>
        <w:tc>
          <w:tcPr>
            <w:tcW w:type="dxa" w:w="1344"/>
          </w:tcPr>
          <w:p>
            <w:pPr>
              <w:jc w:val="center"/>
            </w:pPr>
            <w:r>
              <w:rPr>
                <w:rFonts w:ascii="Times New Roman" w:hAnsi="Times New Roman"/>
                <w:b/>
                <w:sz w:val="20"/>
              </w:rPr>
              <w:t>Market Cap</w:t>
            </w:r>
          </w:p>
        </w:tc>
        <w:tc>
          <w:tcPr>
            <w:tcW w:type="dxa" w:w="1344"/>
          </w:tcPr>
          <w:p>
            <w:pPr>
              <w:jc w:val="center"/>
            </w:pPr>
            <w:r>
              <w:rPr>
                <w:rFonts w:ascii="Times New Roman" w:hAnsi="Times New Roman"/>
                <w:b/>
                <w:sz w:val="20"/>
              </w:rPr>
              <w:t>EV</w:t>
            </w:r>
          </w:p>
        </w:tc>
        <w:tc>
          <w:tcPr>
            <w:tcW w:type="dxa" w:w="1344"/>
          </w:tcPr>
          <w:p>
            <w:pPr>
              <w:jc w:val="center"/>
            </w:pPr>
            <w:r>
              <w:rPr>
                <w:rFonts w:ascii="Times New Roman" w:hAnsi="Times New Roman"/>
                <w:b/>
                <w:sz w:val="20"/>
              </w:rPr>
              <w:t>EV/FY26E Rev</w:t>
            </w:r>
          </w:p>
        </w:tc>
        <w:tc>
          <w:tcPr>
            <w:tcW w:type="dxa" w:w="1344"/>
          </w:tcPr>
          <w:p>
            <w:pPr>
              <w:jc w:val="center"/>
            </w:pPr>
            <w:r>
              <w:rPr>
                <w:rFonts w:ascii="Times New Roman" w:hAnsi="Times New Roman"/>
                <w:b/>
                <w:sz w:val="20"/>
              </w:rPr>
              <w:t>EV/FY27E Rev</w:t>
            </w:r>
          </w:p>
        </w:tc>
        <w:tc>
          <w:tcPr>
            <w:tcW w:type="dxa" w:w="1344"/>
          </w:tcPr>
          <w:p>
            <w:pPr>
              <w:jc w:val="center"/>
            </w:pPr>
            <w:r>
              <w:rPr>
                <w:rFonts w:ascii="Times New Roman" w:hAnsi="Times New Roman"/>
                <w:b/>
                <w:sz w:val="20"/>
              </w:rPr>
              <w:t>Gross Margin</w:t>
            </w:r>
          </w:p>
        </w:tc>
        <w:tc>
          <w:tcPr>
            <w:tcW w:type="dxa" w:w="1344"/>
          </w:tcPr>
          <w:p>
            <w:pPr>
              <w:jc w:val="center"/>
            </w:pPr>
            <w:r>
              <w:rPr>
                <w:rFonts w:ascii="Times New Roman" w:hAnsi="Times New Roman"/>
                <w:b/>
                <w:sz w:val="20"/>
              </w:rPr>
              <w:t>Backlog</w:t>
            </w:r>
          </w:p>
        </w:tc>
      </w:tr>
      <w:tr>
        <w:tc>
          <w:tcPr>
            <w:tcW w:type="dxa" w:w="1344"/>
          </w:tcPr>
          <w:p>
            <w:pPr>
              <w:jc w:val="left"/>
            </w:pPr>
            <w:r>
              <w:rPr>
                <w:rFonts w:ascii="Times New Roman" w:hAnsi="Times New Roman"/>
                <w:sz w:val="20"/>
              </w:rPr>
              <w:t>APLD</w:t>
            </w:r>
          </w:p>
        </w:tc>
        <w:tc>
          <w:tcPr>
            <w:tcW w:type="dxa" w:w="1344"/>
          </w:tcPr>
          <w:p>
            <w:pPr>
              <w:jc w:val="center"/>
            </w:pPr>
            <w:r>
              <w:rPr>
                <w:rFonts w:ascii="Times New Roman" w:hAnsi="Times New Roman"/>
                <w:sz w:val="20"/>
              </w:rPr>
              <w:t>$7.8B</w:t>
            </w:r>
          </w:p>
        </w:tc>
        <w:tc>
          <w:tcPr>
            <w:tcW w:type="dxa" w:w="1344"/>
          </w:tcPr>
          <w:p>
            <w:pPr>
              <w:jc w:val="center"/>
            </w:pPr>
            <w:r>
              <w:rPr>
                <w:rFonts w:ascii="Times New Roman" w:hAnsi="Times New Roman"/>
                <w:sz w:val="20"/>
              </w:rPr>
              <w:t>$7.7B</w:t>
            </w:r>
          </w:p>
        </w:tc>
        <w:tc>
          <w:tcPr>
            <w:tcW w:type="dxa" w:w="1344"/>
          </w:tcPr>
          <w:p>
            <w:pPr>
              <w:jc w:val="center"/>
            </w:pPr>
            <w:r>
              <w:rPr>
                <w:rFonts w:ascii="Times New Roman" w:hAnsi="Times New Roman"/>
                <w:sz w:val="20"/>
              </w:rPr>
              <w:t>25.1x</w:t>
            </w:r>
          </w:p>
        </w:tc>
        <w:tc>
          <w:tcPr>
            <w:tcW w:type="dxa" w:w="1344"/>
          </w:tcPr>
          <w:p>
            <w:pPr>
              <w:jc w:val="center"/>
            </w:pPr>
            <w:r>
              <w:rPr>
                <w:rFonts w:ascii="Times New Roman" w:hAnsi="Times New Roman"/>
                <w:sz w:val="20"/>
              </w:rPr>
              <w:t>14.4x</w:t>
            </w:r>
          </w:p>
        </w:tc>
        <w:tc>
          <w:tcPr>
            <w:tcW w:type="dxa" w:w="1344"/>
          </w:tcPr>
          <w:p>
            <w:pPr>
              <w:jc w:val="center"/>
            </w:pPr>
            <w:r>
              <w:rPr>
                <w:rFonts w:ascii="Times New Roman" w:hAnsi="Times New Roman"/>
                <w:sz w:val="20"/>
              </w:rPr>
              <w:t>20.5%</w:t>
            </w:r>
          </w:p>
        </w:tc>
        <w:tc>
          <w:tcPr>
            <w:tcW w:type="dxa" w:w="1344"/>
          </w:tcPr>
          <w:p>
            <w:pPr>
              <w:jc w:val="center"/>
            </w:pPr>
            <w:r>
              <w:rPr>
                <w:rFonts w:ascii="Times New Roman" w:hAnsi="Times New Roman"/>
                <w:sz w:val="20"/>
              </w:rPr>
              <w:t>$16.0B</w:t>
            </w:r>
          </w:p>
        </w:tc>
      </w:tr>
      <w:tr>
        <w:tc>
          <w:tcPr>
            <w:tcW w:type="dxa" w:w="1344"/>
          </w:tcPr>
          <w:p>
            <w:pPr>
              <w:jc w:val="left"/>
            </w:pPr>
            <w:r>
              <w:rPr>
                <w:rFonts w:ascii="Times New Roman" w:hAnsi="Times New Roman"/>
                <w:sz w:val="20"/>
              </w:rPr>
              <w:t>CORZ</w:t>
            </w:r>
          </w:p>
        </w:tc>
        <w:tc>
          <w:tcPr>
            <w:tcW w:type="dxa" w:w="1344"/>
          </w:tcPr>
          <w:p>
            <w:pPr>
              <w:jc w:val="center"/>
            </w:pPr>
            <w:r>
              <w:rPr>
                <w:rFonts w:ascii="Times New Roman" w:hAnsi="Times New Roman"/>
                <w:sz w:val="20"/>
              </w:rPr>
              <w:t>$5.5B</w:t>
            </w:r>
          </w:p>
        </w:tc>
        <w:tc>
          <w:tcPr>
            <w:tcW w:type="dxa" w:w="1344"/>
          </w:tcPr>
          <w:p>
            <w:pPr>
              <w:jc w:val="center"/>
            </w:pPr>
            <w:r>
              <w:rPr>
                <w:rFonts w:ascii="Times New Roman" w:hAnsi="Times New Roman"/>
                <w:sz w:val="20"/>
              </w:rPr>
              <w:t>$6.1B</w:t>
            </w:r>
          </w:p>
        </w:tc>
        <w:tc>
          <w:tcPr>
            <w:tcW w:type="dxa" w:w="1344"/>
          </w:tcPr>
          <w:p>
            <w:pPr>
              <w:jc w:val="center"/>
            </w:pPr>
            <w:r>
              <w:rPr>
                <w:rFonts w:ascii="Times New Roman" w:hAnsi="Times New Roman"/>
                <w:sz w:val="20"/>
              </w:rPr>
              <w:t>24.0x</w:t>
            </w:r>
          </w:p>
        </w:tc>
        <w:tc>
          <w:tcPr>
            <w:tcW w:type="dxa" w:w="1344"/>
          </w:tcPr>
          <w:p>
            <w:pPr>
              <w:jc w:val="center"/>
            </w:pPr>
            <w:r>
              <w:rPr>
                <w:rFonts w:ascii="Times New Roman" w:hAnsi="Times New Roman"/>
                <w:sz w:val="20"/>
              </w:rPr>
              <w:t>12.2x</w:t>
            </w:r>
          </w:p>
        </w:tc>
        <w:tc>
          <w:tcPr>
            <w:tcW w:type="dxa" w:w="1344"/>
          </w:tcPr>
          <w:p>
            <w:pPr>
              <w:jc w:val="center"/>
            </w:pPr>
            <w:r>
              <w:rPr>
                <w:rFonts w:ascii="Times New Roman" w:hAnsi="Times New Roman"/>
                <w:sz w:val="20"/>
              </w:rPr>
              <w:t>55.0%</w:t>
            </w:r>
          </w:p>
        </w:tc>
        <w:tc>
          <w:tcPr>
            <w:tcW w:type="dxa" w:w="1344"/>
          </w:tcPr>
          <w:p>
            <w:pPr>
              <w:jc w:val="center"/>
            </w:pPr>
            <w:r>
              <w:rPr>
                <w:rFonts w:ascii="Times New Roman" w:hAnsi="Times New Roman"/>
                <w:sz w:val="20"/>
              </w:rPr>
              <w:t>N/A</w:t>
            </w:r>
          </w:p>
        </w:tc>
      </w:tr>
      <w:tr>
        <w:tc>
          <w:tcPr>
            <w:tcW w:type="dxa" w:w="1344"/>
          </w:tcPr>
          <w:p>
            <w:pPr>
              <w:jc w:val="left"/>
            </w:pPr>
            <w:r>
              <w:rPr>
                <w:rFonts w:ascii="Times New Roman" w:hAnsi="Times New Roman"/>
                <w:sz w:val="20"/>
              </w:rPr>
              <w:t>IREN</w:t>
            </w:r>
          </w:p>
        </w:tc>
        <w:tc>
          <w:tcPr>
            <w:tcW w:type="dxa" w:w="1344"/>
          </w:tcPr>
          <w:p>
            <w:pPr>
              <w:jc w:val="center"/>
            </w:pPr>
            <w:r>
              <w:rPr>
                <w:rFonts w:ascii="Times New Roman" w:hAnsi="Times New Roman"/>
                <w:sz w:val="20"/>
              </w:rPr>
              <w:t>$12.9B</w:t>
            </w:r>
          </w:p>
        </w:tc>
        <w:tc>
          <w:tcPr>
            <w:tcW w:type="dxa" w:w="1344"/>
          </w:tcPr>
          <w:p>
            <w:pPr>
              <w:jc w:val="center"/>
            </w:pPr>
            <w:r>
              <w:rPr>
                <w:rFonts w:ascii="Times New Roman" w:hAnsi="Times New Roman"/>
                <w:sz w:val="20"/>
              </w:rPr>
              <w:t>$13.5B</w:t>
            </w:r>
          </w:p>
        </w:tc>
        <w:tc>
          <w:tcPr>
            <w:tcW w:type="dxa" w:w="1344"/>
          </w:tcPr>
          <w:p>
            <w:pPr>
              <w:jc w:val="center"/>
            </w:pPr>
            <w:r>
              <w:rPr>
                <w:rFonts w:ascii="Times New Roman" w:hAnsi="Times New Roman"/>
                <w:sz w:val="20"/>
              </w:rPr>
              <w:t>18.2x</w:t>
            </w:r>
          </w:p>
        </w:tc>
        <w:tc>
          <w:tcPr>
            <w:tcW w:type="dxa" w:w="1344"/>
          </w:tcPr>
          <w:p>
            <w:pPr>
              <w:jc w:val="center"/>
            </w:pPr>
            <w:r>
              <w:rPr>
                <w:rFonts w:ascii="Times New Roman" w:hAnsi="Times New Roman"/>
                <w:sz w:val="20"/>
              </w:rPr>
              <w:t>9.0x</w:t>
            </w:r>
          </w:p>
        </w:tc>
        <w:tc>
          <w:tcPr>
            <w:tcW w:type="dxa" w:w="1344"/>
          </w:tcPr>
          <w:p>
            <w:pPr>
              <w:jc w:val="center"/>
            </w:pPr>
            <w:r>
              <w:rPr>
                <w:rFonts w:ascii="Times New Roman" w:hAnsi="Times New Roman"/>
                <w:sz w:val="20"/>
              </w:rPr>
              <w:t>60.0%</w:t>
            </w:r>
          </w:p>
        </w:tc>
        <w:tc>
          <w:tcPr>
            <w:tcW w:type="dxa" w:w="1344"/>
          </w:tcPr>
          <w:p>
            <w:pPr>
              <w:jc w:val="center"/>
            </w:pPr>
            <w:r>
              <w:rPr>
                <w:rFonts w:ascii="Times New Roman" w:hAnsi="Times New Roman"/>
                <w:sz w:val="20"/>
              </w:rPr>
              <w:t>$2.3B</w:t>
            </w:r>
          </w:p>
        </w:tc>
      </w:tr>
      <w:tr>
        <w:tc>
          <w:tcPr>
            <w:tcW w:type="dxa" w:w="1344"/>
          </w:tcPr>
          <w:p>
            <w:pPr>
              <w:jc w:val="left"/>
            </w:pPr>
            <w:r>
              <w:rPr>
                <w:rFonts w:ascii="Times New Roman" w:hAnsi="Times New Roman"/>
                <w:sz w:val="20"/>
              </w:rPr>
              <w:t>WULF</w:t>
            </w:r>
          </w:p>
        </w:tc>
        <w:tc>
          <w:tcPr>
            <w:tcW w:type="dxa" w:w="1344"/>
          </w:tcPr>
          <w:p>
            <w:pPr>
              <w:jc w:val="center"/>
            </w:pPr>
            <w:r>
              <w:rPr>
                <w:rFonts w:ascii="Times New Roman" w:hAnsi="Times New Roman"/>
                <w:sz w:val="20"/>
              </w:rPr>
              <w:t>$5.9B</w:t>
            </w:r>
          </w:p>
        </w:tc>
        <w:tc>
          <w:tcPr>
            <w:tcW w:type="dxa" w:w="1344"/>
          </w:tcPr>
          <w:p>
            <w:pPr>
              <w:jc w:val="center"/>
            </w:pPr>
            <w:r>
              <w:rPr>
                <w:rFonts w:ascii="Times New Roman" w:hAnsi="Times New Roman"/>
                <w:sz w:val="20"/>
              </w:rPr>
              <w:t>$7.9B</w:t>
            </w:r>
          </w:p>
        </w:tc>
        <w:tc>
          <w:tcPr>
            <w:tcW w:type="dxa" w:w="1344"/>
          </w:tcPr>
          <w:p>
            <w:pPr>
              <w:jc w:val="center"/>
            </w:pPr>
            <w:r>
              <w:rPr>
                <w:rFonts w:ascii="Times New Roman" w:hAnsi="Times New Roman"/>
                <w:sz w:val="20"/>
              </w:rPr>
              <w:t>26.3x</w:t>
            </w:r>
          </w:p>
        </w:tc>
        <w:tc>
          <w:tcPr>
            <w:tcW w:type="dxa" w:w="1344"/>
          </w:tcPr>
          <w:p>
            <w:pPr>
              <w:jc w:val="center"/>
            </w:pPr>
            <w:r>
              <w:rPr>
                <w:rFonts w:ascii="Times New Roman" w:hAnsi="Times New Roman"/>
                <w:sz w:val="20"/>
              </w:rPr>
              <w:t>11.8x</w:t>
            </w:r>
          </w:p>
        </w:tc>
        <w:tc>
          <w:tcPr>
            <w:tcW w:type="dxa" w:w="1344"/>
          </w:tcPr>
          <w:p>
            <w:pPr>
              <w:jc w:val="center"/>
            </w:pPr>
            <w:r>
              <w:rPr>
                <w:rFonts w:ascii="Times New Roman" w:hAnsi="Times New Roman"/>
                <w:sz w:val="20"/>
              </w:rPr>
              <w:t>50.0%</w:t>
            </w:r>
          </w:p>
        </w:tc>
        <w:tc>
          <w:tcPr>
            <w:tcW w:type="dxa" w:w="1344"/>
          </w:tcPr>
          <w:p>
            <w:pPr>
              <w:jc w:val="center"/>
            </w:pPr>
            <w:r>
              <w:rPr>
                <w:rFonts w:ascii="Times New Roman" w:hAnsi="Times New Roman"/>
                <w:sz w:val="20"/>
              </w:rPr>
              <w:t>$12.8B</w:t>
            </w:r>
          </w:p>
        </w:tc>
      </w:tr>
      <w:tr>
        <w:tc>
          <w:tcPr>
            <w:tcW w:type="dxa" w:w="1344"/>
          </w:tcPr>
          <w:p>
            <w:pPr>
              <w:jc w:val="left"/>
            </w:pPr>
            <w:r>
              <w:rPr>
                <w:rFonts w:ascii="Times New Roman" w:hAnsi="Times New Roman"/>
                <w:sz w:val="20"/>
              </w:rPr>
              <w:t>Median</w:t>
            </w:r>
          </w:p>
        </w:tc>
        <w:tc>
          <w:tcPr>
            <w:tcW w:type="dxa" w:w="1344"/>
          </w:tcPr>
          <w:p>
            <w:pPr>
              <w:jc w:val="center"/>
            </w:pPr>
            <w:r>
              <w:rPr>
                <w:rFonts w:ascii="Times New Roman" w:hAnsi="Times New Roman"/>
                <w:sz w:val="20"/>
              </w:rPr>
            </w:r>
          </w:p>
        </w:tc>
        <w:tc>
          <w:tcPr>
            <w:tcW w:type="dxa" w:w="1344"/>
          </w:tcPr>
          <w:p>
            <w:pPr>
              <w:jc w:val="center"/>
            </w:pPr>
            <w:r>
              <w:rPr>
                <w:rFonts w:ascii="Times New Roman" w:hAnsi="Times New Roman"/>
                <w:sz w:val="20"/>
              </w:rPr>
            </w:r>
          </w:p>
        </w:tc>
        <w:tc>
          <w:tcPr>
            <w:tcW w:type="dxa" w:w="1344"/>
          </w:tcPr>
          <w:p>
            <w:pPr>
              <w:jc w:val="center"/>
            </w:pPr>
            <w:r>
              <w:rPr>
                <w:rFonts w:ascii="Times New Roman" w:hAnsi="Times New Roman"/>
                <w:sz w:val="20"/>
              </w:rPr>
              <w:t>24.6x</w:t>
            </w:r>
          </w:p>
        </w:tc>
        <w:tc>
          <w:tcPr>
            <w:tcW w:type="dxa" w:w="1344"/>
          </w:tcPr>
          <w:p>
            <w:pPr>
              <w:jc w:val="center"/>
            </w:pPr>
            <w:r>
              <w:rPr>
                <w:rFonts w:ascii="Times New Roman" w:hAnsi="Times New Roman"/>
                <w:sz w:val="20"/>
              </w:rPr>
              <w:t>12.0x</w:t>
            </w:r>
          </w:p>
        </w:tc>
        <w:tc>
          <w:tcPr>
            <w:tcW w:type="dxa" w:w="1344"/>
          </w:tcPr>
          <w:p>
            <w:pPr>
              <w:jc w:val="center"/>
            </w:pPr>
            <w:r>
              <w:rPr>
                <w:rFonts w:ascii="Times New Roman" w:hAnsi="Times New Roman"/>
                <w:sz w:val="20"/>
              </w:rPr>
              <w:t>52.5%</w:t>
            </w:r>
          </w:p>
        </w:tc>
        <w:tc>
          <w:tcPr>
            <w:tcW w:type="dxa" w:w="1344"/>
          </w:tcPr>
          <w:p>
            <w:pPr>
              <w:jc w:val="center"/>
            </w:pPr>
            <w:r>
              <w:rPr>
                <w:rFonts w:ascii="Times New Roman" w:hAnsi="Times New Roman"/>
                <w:sz w:val="20"/>
              </w:rPr>
            </w:r>
          </w:p>
        </w:tc>
      </w:tr>
    </w:tbl>
    <w:p>
      <w:pPr>
        <w:spacing w:after="240"/>
      </w:pPr>
      <w:r>
        <w:rPr>
          <w:rFonts w:ascii="Times New Roman" w:hAnsi="Times New Roman"/>
          <w:b w:val="0"/>
          <w:i/>
          <w:color w:val="777777"/>
          <w:sz w:val="16"/>
        </w:rPr>
        <w:t>Source: Yahoo Finance, StockAnalysis.com (March 2026); Company IR materials</w:t>
      </w:r>
    </w:p>
    <w:p>
      <w:pPr>
        <w:jc w:val="center"/>
      </w:pPr>
      <w:r>
        <w:drawing>
          <wp:inline xmlns:a="http://schemas.openxmlformats.org/drawingml/2006/main" xmlns:pic="http://schemas.openxmlformats.org/drawingml/2006/picture">
            <wp:extent cx="5029200" cy="3670446"/>
            <wp:docPr id="8" name="Picture 8"/>
            <wp:cNvGraphicFramePr>
              <a:graphicFrameLocks noChangeAspect="1"/>
            </wp:cNvGraphicFramePr>
            <a:graphic>
              <a:graphicData uri="http://schemas.openxmlformats.org/drawingml/2006/picture">
                <pic:pic>
                  <pic:nvPicPr>
                    <pic:cNvPr id="0" name="chart9_peer_valuation.png"/>
                    <pic:cNvPicPr/>
                  </pic:nvPicPr>
                  <pic:blipFill>
                    <a:blip r:embed="rId16"/>
                    <a:stretch>
                      <a:fillRect/>
                    </a:stretch>
                  </pic:blipFill>
                  <pic:spPr>
                    <a:xfrm>
                      <a:off x="0" y="0"/>
                      <a:ext cx="5029200" cy="3670446"/>
                    </a:xfrm>
                    <a:prstGeom prst="rect"/>
                  </pic:spPr>
                </pic:pic>
              </a:graphicData>
            </a:graphic>
          </wp:inline>
        </w:drawing>
      </w:r>
    </w:p>
    <w:p>
      <w:pPr>
        <w:spacing w:after="240"/>
        <w:jc w:val="center"/>
      </w:pPr>
      <w:r>
        <w:rPr>
          <w:rFonts w:ascii="Times New Roman" w:hAnsi="Times New Roman"/>
          <w:b w:val="0"/>
          <w:i/>
          <w:color w:val="777777"/>
          <w:sz w:val="18"/>
        </w:rPr>
        <w:t>Figure 8: EV/FY2026E Revenue — APLD Trades In Line with Peers</w:t>
      </w:r>
    </w:p>
    <w:p>
      <w:pPr>
        <w:pStyle w:val="Heading2"/>
      </w:pPr>
      <w:r>
        <w:rPr>
          <w:rFonts w:ascii="Times New Roman" w:hAnsi="Times New Roman"/>
          <w:color w:val="17365D"/>
        </w:rPr>
        <w:t>Price Target Methodology</w:t>
      </w:r>
    </w:p>
    <w:p>
      <w:pPr>
        <w:spacing w:after="120"/>
      </w:pPr>
      <w:r>
        <w:rPr>
          <w:rFonts w:ascii="Times New Roman" w:hAnsi="Times New Roman"/>
          <w:b w:val="0"/>
          <w:i w:val="0"/>
          <w:color w:val="000000"/>
          <w:sz w:val="22"/>
        </w:rPr>
        <w:t>We derive our $40.00 price target using a blended approach:</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0"/>
              </w:rPr>
              <w:t>Methodology</w:t>
            </w:r>
          </w:p>
        </w:tc>
        <w:tc>
          <w:tcPr>
            <w:tcW w:type="dxa" w:w="2351"/>
          </w:tcPr>
          <w:p>
            <w:pPr>
              <w:jc w:val="center"/>
            </w:pPr>
            <w:r>
              <w:rPr>
                <w:rFonts w:ascii="Times New Roman" w:hAnsi="Times New Roman"/>
                <w:b/>
                <w:sz w:val="20"/>
              </w:rPr>
              <w:t>Implied Value</w:t>
            </w:r>
          </w:p>
        </w:tc>
        <w:tc>
          <w:tcPr>
            <w:tcW w:type="dxa" w:w="2351"/>
          </w:tcPr>
          <w:p>
            <w:pPr>
              <w:jc w:val="center"/>
            </w:pPr>
            <w:r>
              <w:rPr>
                <w:rFonts w:ascii="Times New Roman" w:hAnsi="Times New Roman"/>
                <w:b/>
                <w:sz w:val="20"/>
              </w:rPr>
              <w:t>Weight</w:t>
            </w:r>
          </w:p>
        </w:tc>
        <w:tc>
          <w:tcPr>
            <w:tcW w:type="dxa" w:w="2351"/>
          </w:tcPr>
          <w:p>
            <w:pPr>
              <w:jc w:val="center"/>
            </w:pPr>
            <w:r>
              <w:rPr>
                <w:rFonts w:ascii="Times New Roman" w:hAnsi="Times New Roman"/>
                <w:b/>
                <w:sz w:val="20"/>
              </w:rPr>
              <w:t>Contribution</w:t>
            </w:r>
          </w:p>
        </w:tc>
      </w:tr>
      <w:tr>
        <w:tc>
          <w:tcPr>
            <w:tcW w:type="dxa" w:w="2351"/>
          </w:tcPr>
          <w:p>
            <w:pPr>
              <w:jc w:val="left"/>
            </w:pPr>
            <w:r>
              <w:rPr>
                <w:rFonts w:ascii="Times New Roman" w:hAnsi="Times New Roman"/>
                <w:sz w:val="20"/>
              </w:rPr>
              <w:t>EV/FY27E Revenue (12.0x median)</w:t>
            </w:r>
          </w:p>
        </w:tc>
        <w:tc>
          <w:tcPr>
            <w:tcW w:type="dxa" w:w="2351"/>
          </w:tcPr>
          <w:p>
            <w:pPr>
              <w:jc w:val="center"/>
            </w:pPr>
            <w:r>
              <w:rPr>
                <w:rFonts w:ascii="Times New Roman" w:hAnsi="Times New Roman"/>
                <w:sz w:val="20"/>
              </w:rPr>
              <w:t>$36.50</w:t>
            </w:r>
          </w:p>
        </w:tc>
        <w:tc>
          <w:tcPr>
            <w:tcW w:type="dxa" w:w="2351"/>
          </w:tcPr>
          <w:p>
            <w:pPr>
              <w:jc w:val="center"/>
            </w:pPr>
            <w:r>
              <w:rPr>
                <w:rFonts w:ascii="Times New Roman" w:hAnsi="Times New Roman"/>
                <w:sz w:val="20"/>
              </w:rPr>
              <w:t>40%</w:t>
            </w:r>
          </w:p>
        </w:tc>
        <w:tc>
          <w:tcPr>
            <w:tcW w:type="dxa" w:w="2351"/>
          </w:tcPr>
          <w:p>
            <w:pPr>
              <w:jc w:val="center"/>
            </w:pPr>
            <w:r>
              <w:rPr>
                <w:rFonts w:ascii="Times New Roman" w:hAnsi="Times New Roman"/>
                <w:sz w:val="20"/>
              </w:rPr>
              <w:t>$14.60</w:t>
            </w:r>
          </w:p>
        </w:tc>
      </w:tr>
      <w:tr>
        <w:tc>
          <w:tcPr>
            <w:tcW w:type="dxa" w:w="2351"/>
          </w:tcPr>
          <w:p>
            <w:pPr>
              <w:jc w:val="left"/>
            </w:pPr>
            <w:r>
              <w:rPr>
                <w:rFonts w:ascii="Times New Roman" w:hAnsi="Times New Roman"/>
                <w:sz w:val="20"/>
              </w:rPr>
              <w:t>EV/FY27E Revenue (premium: 14.5x)</w:t>
            </w:r>
          </w:p>
        </w:tc>
        <w:tc>
          <w:tcPr>
            <w:tcW w:type="dxa" w:w="2351"/>
          </w:tcPr>
          <w:p>
            <w:pPr>
              <w:jc w:val="center"/>
            </w:pPr>
            <w:r>
              <w:rPr>
                <w:rFonts w:ascii="Times New Roman" w:hAnsi="Times New Roman"/>
                <w:sz w:val="20"/>
              </w:rPr>
              <w:t>$44.00</w:t>
            </w:r>
          </w:p>
        </w:tc>
        <w:tc>
          <w:tcPr>
            <w:tcW w:type="dxa" w:w="2351"/>
          </w:tcPr>
          <w:p>
            <w:pPr>
              <w:jc w:val="center"/>
            </w:pPr>
            <w:r>
              <w:rPr>
                <w:rFonts w:ascii="Times New Roman" w:hAnsi="Times New Roman"/>
                <w:sz w:val="20"/>
              </w:rPr>
              <w:t>30%</w:t>
            </w:r>
          </w:p>
        </w:tc>
        <w:tc>
          <w:tcPr>
            <w:tcW w:type="dxa" w:w="2351"/>
          </w:tcPr>
          <w:p>
            <w:pPr>
              <w:jc w:val="center"/>
            </w:pPr>
            <w:r>
              <w:rPr>
                <w:rFonts w:ascii="Times New Roman" w:hAnsi="Times New Roman"/>
                <w:sz w:val="20"/>
              </w:rPr>
              <w:t>$13.20</w:t>
            </w:r>
          </w:p>
        </w:tc>
      </w:tr>
      <w:tr>
        <w:tc>
          <w:tcPr>
            <w:tcW w:type="dxa" w:w="2351"/>
          </w:tcPr>
          <w:p>
            <w:pPr>
              <w:jc w:val="left"/>
            </w:pPr>
            <w:r>
              <w:rPr>
                <w:rFonts w:ascii="Times New Roman" w:hAnsi="Times New Roman"/>
                <w:sz w:val="20"/>
              </w:rPr>
              <w:t>Contracted Backlog (per $B)</w:t>
            </w:r>
          </w:p>
        </w:tc>
        <w:tc>
          <w:tcPr>
            <w:tcW w:type="dxa" w:w="2351"/>
          </w:tcPr>
          <w:p>
            <w:pPr>
              <w:jc w:val="center"/>
            </w:pPr>
            <w:r>
              <w:rPr>
                <w:rFonts w:ascii="Times New Roman" w:hAnsi="Times New Roman"/>
                <w:sz w:val="20"/>
              </w:rPr>
              <w:t>$42.00</w:t>
            </w:r>
          </w:p>
        </w:tc>
        <w:tc>
          <w:tcPr>
            <w:tcW w:type="dxa" w:w="2351"/>
          </w:tcPr>
          <w:p>
            <w:pPr>
              <w:jc w:val="center"/>
            </w:pPr>
            <w:r>
              <w:rPr>
                <w:rFonts w:ascii="Times New Roman" w:hAnsi="Times New Roman"/>
                <w:sz w:val="20"/>
              </w:rPr>
              <w:t>30%</w:t>
            </w:r>
          </w:p>
        </w:tc>
        <w:tc>
          <w:tcPr>
            <w:tcW w:type="dxa" w:w="2351"/>
          </w:tcPr>
          <w:p>
            <w:pPr>
              <w:jc w:val="center"/>
            </w:pPr>
            <w:r>
              <w:rPr>
                <w:rFonts w:ascii="Times New Roman" w:hAnsi="Times New Roman"/>
                <w:sz w:val="20"/>
              </w:rPr>
              <w:t>$12.60</w:t>
            </w:r>
          </w:p>
        </w:tc>
      </w:tr>
      <w:tr>
        <w:tc>
          <w:tcPr>
            <w:tcW w:type="dxa" w:w="2351"/>
          </w:tcPr>
          <w:p>
            <w:pPr>
              <w:jc w:val="left"/>
            </w:pPr>
            <w:r>
              <w:rPr>
                <w:rFonts w:ascii="Times New Roman" w:hAnsi="Times New Roman"/>
                <w:sz w:val="20"/>
              </w:rPr>
              <w:t>Blended Price Target</w:t>
            </w:r>
          </w:p>
        </w:tc>
        <w:tc>
          <w:tcPr>
            <w:tcW w:type="dxa" w:w="2351"/>
          </w:tcPr>
          <w:p>
            <w:pPr>
              <w:jc w:val="center"/>
            </w:pPr>
            <w:r>
              <w:rPr>
                <w:rFonts w:ascii="Times New Roman" w:hAnsi="Times New Roman"/>
                <w:sz w:val="20"/>
              </w:rPr>
            </w:r>
          </w:p>
        </w:tc>
        <w:tc>
          <w:tcPr>
            <w:tcW w:type="dxa" w:w="2351"/>
          </w:tcPr>
          <w:p>
            <w:pPr>
              <w:jc w:val="center"/>
            </w:pPr>
            <w:r>
              <w:rPr>
                <w:rFonts w:ascii="Times New Roman" w:hAnsi="Times New Roman"/>
                <w:sz w:val="20"/>
              </w:rPr>
            </w:r>
          </w:p>
        </w:tc>
        <w:tc>
          <w:tcPr>
            <w:tcW w:type="dxa" w:w="2351"/>
          </w:tcPr>
          <w:p>
            <w:pPr>
              <w:jc w:val="center"/>
            </w:pPr>
            <w:r>
              <w:rPr>
                <w:rFonts w:ascii="Times New Roman" w:hAnsi="Times New Roman"/>
                <w:sz w:val="20"/>
              </w:rPr>
              <w:t>$40.40 → $40.00</w:t>
            </w:r>
          </w:p>
        </w:tc>
      </w:tr>
    </w:tbl>
    <w:p>
      <w:pPr>
        <w:spacing w:after="240"/>
      </w:pPr>
      <w:r>
        <w:rPr>
          <w:rFonts w:ascii="Times New Roman" w:hAnsi="Times New Roman"/>
          <w:b w:val="0"/>
          <w:i/>
          <w:color w:val="777777"/>
          <w:sz w:val="16"/>
        </w:rPr>
        <w:t>Note: Premium multiple justified by largest backlog in peer group. Rounded to $40.00.</w:t>
      </w:r>
    </w:p>
    <w:p>
      <w:pPr>
        <w:jc w:val="center"/>
      </w:pPr>
      <w:r>
        <w:drawing>
          <wp:inline xmlns:a="http://schemas.openxmlformats.org/drawingml/2006/main" xmlns:pic="http://schemas.openxmlformats.org/drawingml/2006/picture">
            <wp:extent cx="5029200" cy="3487050"/>
            <wp:docPr id="9" name="Picture 9"/>
            <wp:cNvGraphicFramePr>
              <a:graphicFrameLocks noChangeAspect="1"/>
            </wp:cNvGraphicFramePr>
            <a:graphic>
              <a:graphicData uri="http://schemas.openxmlformats.org/drawingml/2006/picture">
                <pic:pic>
                  <pic:nvPicPr>
                    <pic:cNvPr id="0" name="chart11_analyst_targets.png"/>
                    <pic:cNvPicPr/>
                  </pic:nvPicPr>
                  <pic:blipFill>
                    <a:blip r:embed="rId17"/>
                    <a:stretch>
                      <a:fillRect/>
                    </a:stretch>
                  </pic:blipFill>
                  <pic:spPr>
                    <a:xfrm>
                      <a:off x="0" y="0"/>
                      <a:ext cx="5029200" cy="3487050"/>
                    </a:xfrm>
                    <a:prstGeom prst="rect"/>
                  </pic:spPr>
                </pic:pic>
              </a:graphicData>
            </a:graphic>
          </wp:inline>
        </w:drawing>
      </w:r>
    </w:p>
    <w:p>
      <w:pPr>
        <w:spacing w:after="240"/>
        <w:jc w:val="center"/>
      </w:pPr>
      <w:r>
        <w:rPr>
          <w:rFonts w:ascii="Times New Roman" w:hAnsi="Times New Roman"/>
          <w:b w:val="0"/>
          <w:i/>
          <w:color w:val="777777"/>
          <w:sz w:val="18"/>
        </w:rPr>
        <w:t>Figure 9: Select Analyst Price Targets — Consensus Implies Significant Upside</w:t>
      </w:r>
    </w:p>
    <w:p>
      <w:pPr>
        <w:pStyle w:val="Heading2"/>
      </w:pPr>
      <w:r>
        <w:rPr>
          <w:rFonts w:ascii="Times New Roman" w:hAnsi="Times New Roman"/>
          <w:color w:val="17365D"/>
        </w:rPr>
        <w:t>Detailed Estimate Updates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20"/>
              </w:rPr>
            </w:r>
          </w:p>
        </w:tc>
        <w:tc>
          <w:tcPr>
            <w:tcW w:type="dxa" w:w="1568"/>
          </w:tcPr>
          <w:p>
            <w:pPr>
              <w:jc w:val="center"/>
            </w:pPr>
            <w:r>
              <w:rPr>
                <w:rFonts w:ascii="Times New Roman" w:hAnsi="Times New Roman"/>
                <w:b/>
                <w:sz w:val="20"/>
              </w:rPr>
              <w:t>Q2 FY26A</w:t>
            </w:r>
          </w:p>
        </w:tc>
        <w:tc>
          <w:tcPr>
            <w:tcW w:type="dxa" w:w="1568"/>
          </w:tcPr>
          <w:p>
            <w:pPr>
              <w:jc w:val="center"/>
            </w:pPr>
            <w:r>
              <w:rPr>
                <w:rFonts w:ascii="Times New Roman" w:hAnsi="Times New Roman"/>
                <w:b/>
                <w:sz w:val="20"/>
              </w:rPr>
              <w:t>Q3 FY26E</w:t>
            </w:r>
          </w:p>
        </w:tc>
        <w:tc>
          <w:tcPr>
            <w:tcW w:type="dxa" w:w="1568"/>
          </w:tcPr>
          <w:p>
            <w:pPr>
              <w:jc w:val="center"/>
            </w:pPr>
            <w:r>
              <w:rPr>
                <w:rFonts w:ascii="Times New Roman" w:hAnsi="Times New Roman"/>
                <w:b/>
                <w:sz w:val="20"/>
              </w:rPr>
              <w:t>Q4 FY26E</w:t>
            </w:r>
          </w:p>
        </w:tc>
        <w:tc>
          <w:tcPr>
            <w:tcW w:type="dxa" w:w="1568"/>
          </w:tcPr>
          <w:p>
            <w:pPr>
              <w:jc w:val="center"/>
            </w:pPr>
            <w:r>
              <w:rPr>
                <w:rFonts w:ascii="Times New Roman" w:hAnsi="Times New Roman"/>
                <w:b/>
                <w:sz w:val="20"/>
              </w:rPr>
              <w:t>FY2026E</w:t>
            </w:r>
          </w:p>
        </w:tc>
        <w:tc>
          <w:tcPr>
            <w:tcW w:type="dxa" w:w="1568"/>
          </w:tcPr>
          <w:p>
            <w:pPr>
              <w:jc w:val="center"/>
            </w:pPr>
            <w:r>
              <w:rPr>
                <w:rFonts w:ascii="Times New Roman" w:hAnsi="Times New Roman"/>
                <w:b/>
                <w:sz w:val="20"/>
              </w:rPr>
              <w:t>FY2027E</w:t>
            </w:r>
          </w:p>
        </w:tc>
      </w:tr>
      <w:tr>
        <w:tc>
          <w:tcPr>
            <w:tcW w:type="dxa" w:w="1568"/>
          </w:tcPr>
          <w:p>
            <w:pPr>
              <w:jc w:val="left"/>
            </w:pPr>
            <w:r>
              <w:rPr>
                <w:rFonts w:ascii="Times New Roman" w:hAnsi="Times New Roman"/>
                <w:sz w:val="20"/>
              </w:rPr>
              <w:t>Revenue ($M)</w:t>
            </w:r>
          </w:p>
        </w:tc>
        <w:tc>
          <w:tcPr>
            <w:tcW w:type="dxa" w:w="1568"/>
          </w:tcPr>
          <w:p>
            <w:pPr>
              <w:jc w:val="center"/>
            </w:pPr>
            <w:r>
              <w:rPr>
                <w:rFonts w:ascii="Times New Roman" w:hAnsi="Times New Roman"/>
                <w:sz w:val="20"/>
              </w:rPr>
              <w:t>$126.6</w:t>
            </w:r>
          </w:p>
        </w:tc>
        <w:tc>
          <w:tcPr>
            <w:tcW w:type="dxa" w:w="1568"/>
          </w:tcPr>
          <w:p>
            <w:pPr>
              <w:jc w:val="center"/>
            </w:pPr>
            <w:r>
              <w:rPr>
                <w:rFonts w:ascii="Times New Roman" w:hAnsi="Times New Roman"/>
                <w:sz w:val="20"/>
              </w:rPr>
              <w:t>$90-110</w:t>
            </w:r>
          </w:p>
        </w:tc>
        <w:tc>
          <w:tcPr>
            <w:tcW w:type="dxa" w:w="1568"/>
          </w:tcPr>
          <w:p>
            <w:pPr>
              <w:jc w:val="center"/>
            </w:pPr>
            <w:r>
              <w:rPr>
                <w:rFonts w:ascii="Times New Roman" w:hAnsi="Times New Roman"/>
                <w:sz w:val="20"/>
              </w:rPr>
              <w:t>$110-130</w:t>
            </w:r>
          </w:p>
        </w:tc>
        <w:tc>
          <w:tcPr>
            <w:tcW w:type="dxa" w:w="1568"/>
          </w:tcPr>
          <w:p>
            <w:pPr>
              <w:jc w:val="center"/>
            </w:pPr>
            <w:r>
              <w:rPr>
                <w:rFonts w:ascii="Times New Roman" w:hAnsi="Times New Roman"/>
                <w:sz w:val="20"/>
              </w:rPr>
              <w:t>$346</w:t>
            </w:r>
          </w:p>
        </w:tc>
        <w:tc>
          <w:tcPr>
            <w:tcW w:type="dxa" w:w="1568"/>
          </w:tcPr>
          <w:p>
            <w:pPr>
              <w:jc w:val="center"/>
            </w:pPr>
            <w:r>
              <w:rPr>
                <w:rFonts w:ascii="Times New Roman" w:hAnsi="Times New Roman"/>
                <w:sz w:val="20"/>
              </w:rPr>
              <w:t>$554</w:t>
            </w:r>
          </w:p>
        </w:tc>
      </w:tr>
      <w:tr>
        <w:tc>
          <w:tcPr>
            <w:tcW w:type="dxa" w:w="1568"/>
          </w:tcPr>
          <w:p>
            <w:pPr>
              <w:jc w:val="left"/>
            </w:pPr>
            <w:r>
              <w:rPr>
                <w:rFonts w:ascii="Times New Roman" w:hAnsi="Times New Roman"/>
                <w:sz w:val="20"/>
              </w:rPr>
              <w:t>Revenue Growth (YoY)</w:t>
            </w:r>
          </w:p>
        </w:tc>
        <w:tc>
          <w:tcPr>
            <w:tcW w:type="dxa" w:w="1568"/>
          </w:tcPr>
          <w:p>
            <w:pPr>
              <w:jc w:val="center"/>
            </w:pPr>
            <w:r>
              <w:rPr>
                <w:rFonts w:ascii="Times New Roman" w:hAnsi="Times New Roman"/>
                <w:sz w:val="20"/>
              </w:rPr>
              <w:t>+250%</w:t>
            </w:r>
          </w:p>
        </w:tc>
        <w:tc>
          <w:tcPr>
            <w:tcW w:type="dxa" w:w="1568"/>
          </w:tcPr>
          <w:p>
            <w:pPr>
              <w:jc w:val="center"/>
            </w:pPr>
            <w:r>
              <w:rPr>
                <w:rFonts w:ascii="Times New Roman" w:hAnsi="Times New Roman"/>
                <w:sz w:val="20"/>
              </w:rPr>
              <w:t>+120%E</w:t>
            </w:r>
          </w:p>
        </w:tc>
        <w:tc>
          <w:tcPr>
            <w:tcW w:type="dxa" w:w="1568"/>
          </w:tcPr>
          <w:p>
            <w:pPr>
              <w:jc w:val="center"/>
            </w:pPr>
            <w:r>
              <w:rPr>
                <w:rFonts w:ascii="Times New Roman" w:hAnsi="Times New Roman"/>
                <w:sz w:val="20"/>
              </w:rPr>
              <w:t>+150%E</w:t>
            </w:r>
          </w:p>
        </w:tc>
        <w:tc>
          <w:tcPr>
            <w:tcW w:type="dxa" w:w="1568"/>
          </w:tcPr>
          <w:p>
            <w:pPr>
              <w:jc w:val="center"/>
            </w:pPr>
            <w:r>
              <w:rPr>
                <w:rFonts w:ascii="Times New Roman" w:hAnsi="Times New Roman"/>
                <w:sz w:val="20"/>
              </w:rPr>
              <w:t>+140%</w:t>
            </w:r>
          </w:p>
        </w:tc>
        <w:tc>
          <w:tcPr>
            <w:tcW w:type="dxa" w:w="1568"/>
          </w:tcPr>
          <w:p>
            <w:pPr>
              <w:jc w:val="center"/>
            </w:pPr>
            <w:r>
              <w:rPr>
                <w:rFonts w:ascii="Times New Roman" w:hAnsi="Times New Roman"/>
                <w:sz w:val="20"/>
              </w:rPr>
              <w:t>+60%</w:t>
            </w:r>
          </w:p>
        </w:tc>
      </w:tr>
      <w:tr>
        <w:tc>
          <w:tcPr>
            <w:tcW w:type="dxa" w:w="1568"/>
          </w:tcPr>
          <w:p>
            <w:pPr>
              <w:jc w:val="left"/>
            </w:pPr>
            <w:r>
              <w:rPr>
                <w:rFonts w:ascii="Times New Roman" w:hAnsi="Times New Roman"/>
                <w:sz w:val="20"/>
              </w:rPr>
              <w:t>Gross Margin</w:t>
            </w:r>
          </w:p>
        </w:tc>
        <w:tc>
          <w:tcPr>
            <w:tcW w:type="dxa" w:w="1568"/>
          </w:tcPr>
          <w:p>
            <w:pPr>
              <w:jc w:val="center"/>
            </w:pPr>
            <w:r>
              <w:rPr>
                <w:rFonts w:ascii="Times New Roman" w:hAnsi="Times New Roman"/>
                <w:sz w:val="20"/>
              </w:rPr>
              <w:t>20.5%</w:t>
            </w:r>
          </w:p>
        </w:tc>
        <w:tc>
          <w:tcPr>
            <w:tcW w:type="dxa" w:w="1568"/>
          </w:tcPr>
          <w:p>
            <w:pPr>
              <w:jc w:val="center"/>
            </w:pPr>
            <w:r>
              <w:rPr>
                <w:rFonts w:ascii="Times New Roman" w:hAnsi="Times New Roman"/>
                <w:sz w:val="20"/>
              </w:rPr>
              <w:t>22-25%E</w:t>
            </w:r>
          </w:p>
        </w:tc>
        <w:tc>
          <w:tcPr>
            <w:tcW w:type="dxa" w:w="1568"/>
          </w:tcPr>
          <w:p>
            <w:pPr>
              <w:jc w:val="center"/>
            </w:pPr>
            <w:r>
              <w:rPr>
                <w:rFonts w:ascii="Times New Roman" w:hAnsi="Times New Roman"/>
                <w:sz w:val="20"/>
              </w:rPr>
              <w:t>25-30%E</w:t>
            </w:r>
          </w:p>
        </w:tc>
        <w:tc>
          <w:tcPr>
            <w:tcW w:type="dxa" w:w="1568"/>
          </w:tcPr>
          <w:p>
            <w:pPr>
              <w:jc w:val="center"/>
            </w:pPr>
            <w:r>
              <w:rPr>
                <w:rFonts w:ascii="Times New Roman" w:hAnsi="Times New Roman"/>
                <w:sz w:val="20"/>
              </w:rPr>
              <w:t>22%E</w:t>
            </w:r>
          </w:p>
        </w:tc>
        <w:tc>
          <w:tcPr>
            <w:tcW w:type="dxa" w:w="1568"/>
          </w:tcPr>
          <w:p>
            <w:pPr>
              <w:jc w:val="center"/>
            </w:pPr>
            <w:r>
              <w:rPr>
                <w:rFonts w:ascii="Times New Roman" w:hAnsi="Times New Roman"/>
                <w:sz w:val="20"/>
              </w:rPr>
              <w:t>35%E</w:t>
            </w:r>
          </w:p>
        </w:tc>
      </w:tr>
      <w:tr>
        <w:tc>
          <w:tcPr>
            <w:tcW w:type="dxa" w:w="1568"/>
          </w:tcPr>
          <w:p>
            <w:pPr>
              <w:jc w:val="left"/>
            </w:pPr>
            <w:r>
              <w:rPr>
                <w:rFonts w:ascii="Times New Roman" w:hAnsi="Times New Roman"/>
                <w:sz w:val="20"/>
              </w:rPr>
              <w:t>Adj. EBITDA ($M)</w:t>
            </w:r>
          </w:p>
        </w:tc>
        <w:tc>
          <w:tcPr>
            <w:tcW w:type="dxa" w:w="1568"/>
          </w:tcPr>
          <w:p>
            <w:pPr>
              <w:jc w:val="center"/>
            </w:pPr>
            <w:r>
              <w:rPr>
                <w:rFonts w:ascii="Times New Roman" w:hAnsi="Times New Roman"/>
                <w:sz w:val="20"/>
              </w:rPr>
              <w:t>$20.2</w:t>
            </w:r>
          </w:p>
        </w:tc>
        <w:tc>
          <w:tcPr>
            <w:tcW w:type="dxa" w:w="1568"/>
          </w:tcPr>
          <w:p>
            <w:pPr>
              <w:jc w:val="center"/>
            </w:pPr>
            <w:r>
              <w:rPr>
                <w:rFonts w:ascii="Times New Roman" w:hAnsi="Times New Roman"/>
                <w:sz w:val="20"/>
              </w:rPr>
              <w:t>$18-22E</w:t>
            </w:r>
          </w:p>
        </w:tc>
        <w:tc>
          <w:tcPr>
            <w:tcW w:type="dxa" w:w="1568"/>
          </w:tcPr>
          <w:p>
            <w:pPr>
              <w:jc w:val="center"/>
            </w:pPr>
            <w:r>
              <w:rPr>
                <w:rFonts w:ascii="Times New Roman" w:hAnsi="Times New Roman"/>
                <w:sz w:val="20"/>
              </w:rPr>
              <w:t>$22-28E</w:t>
            </w:r>
          </w:p>
        </w:tc>
        <w:tc>
          <w:tcPr>
            <w:tcW w:type="dxa" w:w="1568"/>
          </w:tcPr>
          <w:p>
            <w:pPr>
              <w:jc w:val="center"/>
            </w:pPr>
            <w:r>
              <w:rPr>
                <w:rFonts w:ascii="Times New Roman" w:hAnsi="Times New Roman"/>
                <w:sz w:val="20"/>
              </w:rPr>
              <w:t>$48E</w:t>
            </w:r>
          </w:p>
        </w:tc>
        <w:tc>
          <w:tcPr>
            <w:tcW w:type="dxa" w:w="1568"/>
          </w:tcPr>
          <w:p>
            <w:pPr>
              <w:jc w:val="center"/>
            </w:pPr>
            <w:r>
              <w:rPr>
                <w:rFonts w:ascii="Times New Roman" w:hAnsi="Times New Roman"/>
                <w:sz w:val="20"/>
              </w:rPr>
              <w:t>$110E</w:t>
            </w:r>
          </w:p>
        </w:tc>
      </w:tr>
      <w:tr>
        <w:tc>
          <w:tcPr>
            <w:tcW w:type="dxa" w:w="1568"/>
          </w:tcPr>
          <w:p>
            <w:pPr>
              <w:jc w:val="left"/>
            </w:pPr>
            <w:r>
              <w:rPr>
                <w:rFonts w:ascii="Times New Roman" w:hAnsi="Times New Roman"/>
                <w:sz w:val="20"/>
              </w:rPr>
              <w:t>EBITDA Margin</w:t>
            </w:r>
          </w:p>
        </w:tc>
        <w:tc>
          <w:tcPr>
            <w:tcW w:type="dxa" w:w="1568"/>
          </w:tcPr>
          <w:p>
            <w:pPr>
              <w:jc w:val="center"/>
            </w:pPr>
            <w:r>
              <w:rPr>
                <w:rFonts w:ascii="Times New Roman" w:hAnsi="Times New Roman"/>
                <w:sz w:val="20"/>
              </w:rPr>
              <w:t>16.0%</w:t>
            </w:r>
          </w:p>
        </w:tc>
        <w:tc>
          <w:tcPr>
            <w:tcW w:type="dxa" w:w="1568"/>
          </w:tcPr>
          <w:p>
            <w:pPr>
              <w:jc w:val="center"/>
            </w:pPr>
            <w:r>
              <w:rPr>
                <w:rFonts w:ascii="Times New Roman" w:hAnsi="Times New Roman"/>
                <w:sz w:val="20"/>
              </w:rPr>
              <w:t>18-20%E</w:t>
            </w:r>
          </w:p>
        </w:tc>
        <w:tc>
          <w:tcPr>
            <w:tcW w:type="dxa" w:w="1568"/>
          </w:tcPr>
          <w:p>
            <w:pPr>
              <w:jc w:val="center"/>
            </w:pPr>
            <w:r>
              <w:rPr>
                <w:rFonts w:ascii="Times New Roman" w:hAnsi="Times New Roman"/>
                <w:sz w:val="20"/>
              </w:rPr>
              <w:t>20-22%E</w:t>
            </w:r>
          </w:p>
        </w:tc>
        <w:tc>
          <w:tcPr>
            <w:tcW w:type="dxa" w:w="1568"/>
          </w:tcPr>
          <w:p>
            <w:pPr>
              <w:jc w:val="center"/>
            </w:pPr>
            <w:r>
              <w:rPr>
                <w:rFonts w:ascii="Times New Roman" w:hAnsi="Times New Roman"/>
                <w:sz w:val="20"/>
              </w:rPr>
              <w:t>14%E</w:t>
            </w:r>
          </w:p>
        </w:tc>
        <w:tc>
          <w:tcPr>
            <w:tcW w:type="dxa" w:w="1568"/>
          </w:tcPr>
          <w:p>
            <w:pPr>
              <w:jc w:val="center"/>
            </w:pPr>
            <w:r>
              <w:rPr>
                <w:rFonts w:ascii="Times New Roman" w:hAnsi="Times New Roman"/>
                <w:sz w:val="20"/>
              </w:rPr>
              <w:t>20%E</w:t>
            </w:r>
          </w:p>
        </w:tc>
      </w:tr>
      <w:tr>
        <w:tc>
          <w:tcPr>
            <w:tcW w:type="dxa" w:w="1568"/>
          </w:tcPr>
          <w:p>
            <w:pPr>
              <w:jc w:val="left"/>
            </w:pPr>
            <w:r>
              <w:rPr>
                <w:rFonts w:ascii="Times New Roman" w:hAnsi="Times New Roman"/>
                <w:sz w:val="20"/>
              </w:rPr>
              <w:t>GAAP EPS</w:t>
            </w:r>
          </w:p>
        </w:tc>
        <w:tc>
          <w:tcPr>
            <w:tcW w:type="dxa" w:w="1568"/>
          </w:tcPr>
          <w:p>
            <w:pPr>
              <w:jc w:val="center"/>
            </w:pPr>
            <w:r>
              <w:rPr>
                <w:rFonts w:ascii="Times New Roman" w:hAnsi="Times New Roman"/>
                <w:sz w:val="20"/>
              </w:rPr>
              <w:t>$(0.11)</w:t>
            </w:r>
          </w:p>
        </w:tc>
        <w:tc>
          <w:tcPr>
            <w:tcW w:type="dxa" w:w="1568"/>
          </w:tcPr>
          <w:p>
            <w:pPr>
              <w:jc w:val="center"/>
            </w:pPr>
            <w:r>
              <w:rPr>
                <w:rFonts w:ascii="Times New Roman" w:hAnsi="Times New Roman"/>
                <w:sz w:val="20"/>
              </w:rPr>
              <w:t>$(0.10)E</w:t>
            </w:r>
          </w:p>
        </w:tc>
        <w:tc>
          <w:tcPr>
            <w:tcW w:type="dxa" w:w="1568"/>
          </w:tcPr>
          <w:p>
            <w:pPr>
              <w:jc w:val="center"/>
            </w:pPr>
            <w:r>
              <w:rPr>
                <w:rFonts w:ascii="Times New Roman" w:hAnsi="Times New Roman"/>
                <w:sz w:val="20"/>
              </w:rPr>
              <w:t>$(0.08)E</w:t>
            </w:r>
          </w:p>
        </w:tc>
        <w:tc>
          <w:tcPr>
            <w:tcW w:type="dxa" w:w="1568"/>
          </w:tcPr>
          <w:p>
            <w:pPr>
              <w:jc w:val="center"/>
            </w:pPr>
            <w:r>
              <w:rPr>
                <w:rFonts w:ascii="Times New Roman" w:hAnsi="Times New Roman"/>
                <w:sz w:val="20"/>
              </w:rPr>
              <w:t>$(0.49)E</w:t>
            </w:r>
          </w:p>
        </w:tc>
        <w:tc>
          <w:tcPr>
            <w:tcW w:type="dxa" w:w="1568"/>
          </w:tcPr>
          <w:p>
            <w:pPr>
              <w:jc w:val="center"/>
            </w:pPr>
            <w:r>
              <w:rPr>
                <w:rFonts w:ascii="Times New Roman" w:hAnsi="Times New Roman"/>
                <w:sz w:val="20"/>
              </w:rPr>
              <w:t>$(0.71)E</w:t>
            </w:r>
          </w:p>
        </w:tc>
      </w:tr>
    </w:tbl>
    <w:p>
      <w:pPr>
        <w:spacing w:after="240"/>
      </w:pPr>
      <w:r>
        <w:rPr>
          <w:rFonts w:ascii="Times New Roman" w:hAnsi="Times New Roman"/>
          <w:b w:val="0"/>
          <w:i/>
          <w:color w:val="777777"/>
          <w:sz w:val="16"/>
        </w:rPr>
        <w:t>Source: Q2 FY2026 actual from Applied Digital earnings release; estimates based on consensus and our analysis. A = Actual, E = Estimate.</w:t>
      </w:r>
    </w:p>
    <w:p>
      <w:pPr>
        <w:jc w:val="center"/>
      </w:pPr>
      <w:r>
        <w:drawing>
          <wp:inline xmlns:a="http://schemas.openxmlformats.org/drawingml/2006/main" xmlns:pic="http://schemas.openxmlformats.org/drawingml/2006/picture">
            <wp:extent cx="5029200" cy="3883064"/>
            <wp:docPr id="10" name="Picture 10"/>
            <wp:cNvGraphicFramePr>
              <a:graphicFrameLocks noChangeAspect="1"/>
            </wp:cNvGraphicFramePr>
            <a:graphic>
              <a:graphicData uri="http://schemas.openxmlformats.org/drawingml/2006/picture">
                <pic:pic>
                  <pic:nvPicPr>
                    <pic:cNvPr id="0" name="chart10_balance_sheet.png"/>
                    <pic:cNvPicPr/>
                  </pic:nvPicPr>
                  <pic:blipFill>
                    <a:blip r:embed="rId18"/>
                    <a:stretch>
                      <a:fillRect/>
                    </a:stretch>
                  </pic:blipFill>
                  <pic:spPr>
                    <a:xfrm>
                      <a:off x="0" y="0"/>
                      <a:ext cx="5029200" cy="3883064"/>
                    </a:xfrm>
                    <a:prstGeom prst="rect"/>
                  </pic:spPr>
                </pic:pic>
              </a:graphicData>
            </a:graphic>
          </wp:inline>
        </w:drawing>
      </w:r>
    </w:p>
    <w:p>
      <w:pPr>
        <w:spacing w:after="240"/>
        <w:jc w:val="center"/>
      </w:pPr>
      <w:r>
        <w:rPr>
          <w:rFonts w:ascii="Times New Roman" w:hAnsi="Times New Roman"/>
          <w:b w:val="0"/>
          <w:i/>
          <w:color w:val="777777"/>
          <w:sz w:val="18"/>
        </w:rPr>
        <w:t>Figure 10: Balance Sheet Snapshot — Funded for Current Buildout</w:t>
      </w:r>
    </w:p>
    <w:p>
      <w:pPr>
        <w:jc w:val="center"/>
      </w:pPr>
      <w:r>
        <w:drawing>
          <wp:inline xmlns:a="http://schemas.openxmlformats.org/drawingml/2006/main" xmlns:pic="http://schemas.openxmlformats.org/drawingml/2006/picture">
            <wp:extent cx="5029200" cy="3590260"/>
            <wp:docPr id="11" name="Picture 11"/>
            <wp:cNvGraphicFramePr>
              <a:graphicFrameLocks noChangeAspect="1"/>
            </wp:cNvGraphicFramePr>
            <a:graphic>
              <a:graphicData uri="http://schemas.openxmlformats.org/drawingml/2006/picture">
                <pic:pic>
                  <pic:nvPicPr>
                    <pic:cNvPr id="0" name="chart12_backlog.png"/>
                    <pic:cNvPicPr/>
                  </pic:nvPicPr>
                  <pic:blipFill>
                    <a:blip r:embed="rId19"/>
                    <a:stretch>
                      <a:fillRect/>
                    </a:stretch>
                  </pic:blipFill>
                  <pic:spPr>
                    <a:xfrm>
                      <a:off x="0" y="0"/>
                      <a:ext cx="5029200" cy="3590260"/>
                    </a:xfrm>
                    <a:prstGeom prst="rect"/>
                  </pic:spPr>
                </pic:pic>
              </a:graphicData>
            </a:graphic>
          </wp:inline>
        </w:drawing>
      </w:r>
    </w:p>
    <w:p>
      <w:pPr>
        <w:spacing w:after="240"/>
        <w:jc w:val="center"/>
      </w:pPr>
      <w:r>
        <w:rPr>
          <w:rFonts w:ascii="Times New Roman" w:hAnsi="Times New Roman"/>
          <w:b w:val="0"/>
          <w:i/>
          <w:color w:val="777777"/>
          <w:sz w:val="18"/>
        </w:rPr>
        <w:t>Figure 11: Contracted Backlog — APLD Leads the HPC Data Center Peer Group</w:t>
      </w:r>
    </w:p>
    <w:p>
      <w:r>
        <w:br w:type="page"/>
      </w:r>
    </w:p>
    <w:p>
      <w:pPr>
        <w:pStyle w:val="Heading1"/>
      </w:pPr>
      <w:r>
        <w:rPr>
          <w:rFonts w:ascii="Times New Roman" w:hAnsi="Times New Roman"/>
          <w:color w:val="17365D"/>
        </w:rPr>
        <w:t>Appendix</w:t>
      </w:r>
    </w:p>
    <w:p>
      <w:pPr>
        <w:pStyle w:val="Heading2"/>
      </w:pPr>
      <w:r>
        <w:rPr>
          <w:rFonts w:ascii="Times New Roman" w:hAnsi="Times New Roman"/>
          <w:color w:val="17365D"/>
        </w:rPr>
        <w:t>Earnings Call Highlights</w:t>
      </w:r>
    </w:p>
    <w:p>
      <w:pPr>
        <w:spacing w:after="160"/>
      </w:pPr>
      <w:r>
        <w:rPr>
          <w:rFonts w:ascii="Times New Roman" w:hAnsi="Times New Roman"/>
          <w:b/>
          <w:i w:val="0"/>
          <w:color w:val="000000"/>
          <w:sz w:val="22"/>
        </w:rPr>
        <w:t>Key quotes from the Q2 FY2026 earnings call (January 7, 2026):</w:t>
      </w:r>
    </w:p>
    <w:p>
      <w:pPr>
        <w:spacing w:after="160"/>
      </w:pPr>
      <w:r>
        <w:rPr>
          <w:rFonts w:ascii="Times New Roman" w:hAnsi="Times New Roman"/>
          <w:b/>
          <w:i/>
          <w:sz w:val="20"/>
        </w:rPr>
        <w:t xml:space="preserve">On demand outlook: </w:t>
      </w:r>
      <w:r>
        <w:rPr>
          <w:rFonts w:ascii="Times New Roman" w:hAnsi="Times New Roman"/>
          <w:sz w:val="20"/>
        </w:rPr>
        <w:t>CEO Wes Cummins described securing the $5 billion, 15-year lease with a U.S. investment-grade hyperscaler as evidence of strong and growing demand for data center capacity to support AI workloads.</w:t>
      </w:r>
    </w:p>
    <w:p>
      <w:pPr>
        <w:spacing w:after="160"/>
      </w:pPr>
      <w:r>
        <w:rPr>
          <w:rFonts w:ascii="Times New Roman" w:hAnsi="Times New Roman"/>
          <w:b/>
          <w:i/>
          <w:sz w:val="20"/>
        </w:rPr>
        <w:t xml:space="preserve">On fit-out margins: </w:t>
      </w:r>
      <w:r>
        <w:rPr>
          <w:rFonts w:ascii="Times New Roman" w:hAnsi="Times New Roman"/>
          <w:sz w:val="20"/>
        </w:rPr>
        <w:t>Management acknowledged fit-out services carry mid-single-digit margins but are strategically important — they demonstrate Applied Digital can provide end-to-end services for deploying state-of-the-art data centers.</w:t>
      </w:r>
    </w:p>
    <w:p>
      <w:pPr>
        <w:spacing w:after="160"/>
      </w:pPr>
      <w:r>
        <w:rPr>
          <w:rFonts w:ascii="Times New Roman" w:hAnsi="Times New Roman"/>
          <w:b/>
          <w:i/>
          <w:sz w:val="20"/>
        </w:rPr>
        <w:t xml:space="preserve">On customer diversification: </w:t>
      </w:r>
      <w:r>
        <w:rPr>
          <w:rFonts w:ascii="Times New Roman" w:hAnsi="Times New Roman"/>
          <w:sz w:val="20"/>
        </w:rPr>
        <w:t>The new 200 MW lease at Polaris Forge 2 with an investment-grade hyperscaler represents meaningful diversification beyond CoreWeave.</w:t>
      </w:r>
    </w:p>
    <w:p>
      <w:pPr>
        <w:spacing w:after="160"/>
      </w:pPr>
      <w:r>
        <w:rPr>
          <w:rFonts w:ascii="Times New Roman" w:hAnsi="Times New Roman"/>
          <w:b/>
          <w:i/>
          <w:sz w:val="20"/>
        </w:rPr>
        <w:t xml:space="preserve">On NOI trajectory: </w:t>
      </w:r>
      <w:r>
        <w:rPr>
          <w:rFonts w:ascii="Times New Roman" w:hAnsi="Times New Roman"/>
          <w:sz w:val="20"/>
        </w:rPr>
        <w:t>CEO forecasts surpassing $1 billion in net operating income within five years as lease revenue ramps from the massive contracted backlog.</w:t>
      </w:r>
    </w:p>
    <w:p>
      <w:pPr>
        <w:pStyle w:val="Heading2"/>
      </w:pPr>
      <w:r>
        <w:rPr>
          <w:rFonts w:ascii="Times New Roman" w:hAnsi="Times New Roman"/>
          <w:color w:val="17365D"/>
        </w:rPr>
        <w:t>Company Overview</w:t>
      </w:r>
    </w:p>
    <w:p>
      <w:pPr>
        <w:spacing w:after="120"/>
      </w:pPr>
      <w:r>
        <w:rPr>
          <w:rFonts w:ascii="Times New Roman" w:hAnsi="Times New Roman"/>
          <w:b w:val="0"/>
          <w:i w:val="0"/>
          <w:color w:val="000000"/>
          <w:sz w:val="22"/>
        </w:rPr>
        <w:t>Applied Digital Corporation (NASDAQ: APLD) designs, builds, and operates data centers for high-performance computing (HPC) and artificial intelligence workloads. The company has pivoted from its legacy Bitcoin mining hosting business to become a pure-play HPC/AI data center infrastructure provider. Its primary assets are the Polaris Forge campuses in North Dakota, which provide low-cost power and favorable climate conditions for large-scale data center operations.</w:t>
      </w:r>
    </w:p>
    <w:p>
      <w:pPr>
        <w:spacing w:after="120"/>
      </w:pPr>
      <w:r>
        <w:rPr>
          <w:rFonts w:ascii="Times New Roman" w:hAnsi="Times New Roman"/>
          <w:b w:val="0"/>
          <w:i w:val="0"/>
          <w:color w:val="000000"/>
          <w:sz w:val="22"/>
        </w:rPr>
        <w:t>The Cloud Services segment (GPU cloud computing) is being spun off into "ChronoScale" via a merger with EKSO Bionics, expected to close in H1 2026. Post-spin, Applied Digital will be a pure-play data center colocation/hosting company.</w:t>
      </w:r>
    </w:p>
    <w:p>
      <w:pPr>
        <w:pStyle w:val="Heading2"/>
      </w:pPr>
      <w:r>
        <w:rPr>
          <w:rFonts w:ascii="Times New Roman" w:hAnsi="Times New Roman"/>
          <w:color w:val="17365D"/>
        </w:rPr>
        <w:t>Post-Earnings Analyst Activity</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Firm</w:t>
            </w:r>
          </w:p>
        </w:tc>
        <w:tc>
          <w:tcPr>
            <w:tcW w:type="dxa" w:w="1881"/>
          </w:tcPr>
          <w:p>
            <w:pPr>
              <w:jc w:val="center"/>
            </w:pPr>
            <w:r>
              <w:rPr>
                <w:rFonts w:ascii="Times New Roman" w:hAnsi="Times New Roman"/>
                <w:b/>
                <w:sz w:val="20"/>
              </w:rPr>
              <w:t>Analyst</w:t>
            </w:r>
          </w:p>
        </w:tc>
        <w:tc>
          <w:tcPr>
            <w:tcW w:type="dxa" w:w="1881"/>
          </w:tcPr>
          <w:p>
            <w:pPr>
              <w:jc w:val="center"/>
            </w:pPr>
            <w:r>
              <w:rPr>
                <w:rFonts w:ascii="Times New Roman" w:hAnsi="Times New Roman"/>
                <w:b/>
                <w:sz w:val="20"/>
              </w:rPr>
              <w:t>Action</w:t>
            </w:r>
          </w:p>
        </w:tc>
        <w:tc>
          <w:tcPr>
            <w:tcW w:type="dxa" w:w="1881"/>
          </w:tcPr>
          <w:p>
            <w:pPr>
              <w:jc w:val="center"/>
            </w:pPr>
            <w:r>
              <w:rPr>
                <w:rFonts w:ascii="Times New Roman" w:hAnsi="Times New Roman"/>
                <w:b/>
                <w:sz w:val="20"/>
              </w:rPr>
              <w:t>Rating</w:t>
            </w:r>
          </w:p>
        </w:tc>
        <w:tc>
          <w:tcPr>
            <w:tcW w:type="dxa" w:w="1881"/>
          </w:tcPr>
          <w:p>
            <w:pPr>
              <w:jc w:val="center"/>
            </w:pPr>
            <w:r>
              <w:rPr>
                <w:rFonts w:ascii="Times New Roman" w:hAnsi="Times New Roman"/>
                <w:b/>
                <w:sz w:val="20"/>
              </w:rPr>
              <w:t>Price Target</w:t>
            </w:r>
          </w:p>
        </w:tc>
      </w:tr>
      <w:tr>
        <w:tc>
          <w:tcPr>
            <w:tcW w:type="dxa" w:w="1881"/>
          </w:tcPr>
          <w:p>
            <w:pPr>
              <w:jc w:val="left"/>
            </w:pPr>
            <w:r>
              <w:rPr>
                <w:rFonts w:ascii="Times New Roman" w:hAnsi="Times New Roman"/>
                <w:sz w:val="20"/>
              </w:rPr>
              <w:t>B. Riley Securities</w:t>
            </w:r>
          </w:p>
        </w:tc>
        <w:tc>
          <w:tcPr>
            <w:tcW w:type="dxa" w:w="1881"/>
          </w:tcPr>
          <w:p>
            <w:pPr>
              <w:jc w:val="center"/>
            </w:pPr>
            <w:r>
              <w:rPr>
                <w:rFonts w:ascii="Times New Roman" w:hAnsi="Times New Roman"/>
                <w:sz w:val="20"/>
              </w:rPr>
              <w:t>Nick Giles</w:t>
            </w:r>
          </w:p>
        </w:tc>
        <w:tc>
          <w:tcPr>
            <w:tcW w:type="dxa" w:w="1881"/>
          </w:tcPr>
          <w:p>
            <w:pPr>
              <w:jc w:val="center"/>
            </w:pPr>
            <w:r>
              <w:rPr>
                <w:rFonts w:ascii="Times New Roman" w:hAnsi="Times New Roman"/>
                <w:sz w:val="20"/>
              </w:rPr>
              <w:t>PT Raised</w:t>
            </w:r>
          </w:p>
        </w:tc>
        <w:tc>
          <w:tcPr>
            <w:tcW w:type="dxa" w:w="1881"/>
          </w:tcPr>
          <w:p>
            <w:pPr>
              <w:jc w:val="center"/>
            </w:pPr>
            <w:r>
              <w:rPr>
                <w:rFonts w:ascii="Times New Roman" w:hAnsi="Times New Roman"/>
                <w:sz w:val="20"/>
              </w:rPr>
              <w:t>Strong Buy</w:t>
            </w:r>
          </w:p>
        </w:tc>
        <w:tc>
          <w:tcPr>
            <w:tcW w:type="dxa" w:w="1881"/>
          </w:tcPr>
          <w:p>
            <w:pPr>
              <w:jc w:val="center"/>
            </w:pPr>
            <w:r>
              <w:rPr>
                <w:rFonts w:ascii="Times New Roman" w:hAnsi="Times New Roman"/>
                <w:sz w:val="20"/>
              </w:rPr>
              <w:t>$47 → $53</w:t>
            </w:r>
          </w:p>
        </w:tc>
      </w:tr>
      <w:tr>
        <w:tc>
          <w:tcPr>
            <w:tcW w:type="dxa" w:w="1881"/>
          </w:tcPr>
          <w:p>
            <w:pPr>
              <w:jc w:val="left"/>
            </w:pPr>
            <w:r>
              <w:rPr>
                <w:rFonts w:ascii="Times New Roman" w:hAnsi="Times New Roman"/>
                <w:sz w:val="20"/>
              </w:rPr>
              <w:t>Roth Capital</w:t>
            </w:r>
          </w:p>
        </w:tc>
        <w:tc>
          <w:tcPr>
            <w:tcW w:type="dxa" w:w="1881"/>
          </w:tcPr>
          <w:p>
            <w:pPr>
              <w:jc w:val="center"/>
            </w:pPr>
            <w:r>
              <w:rPr>
                <w:rFonts w:ascii="Times New Roman" w:hAnsi="Times New Roman"/>
                <w:sz w:val="20"/>
              </w:rPr>
              <w:t>Darren Aftahi</w:t>
            </w:r>
          </w:p>
        </w:tc>
        <w:tc>
          <w:tcPr>
            <w:tcW w:type="dxa" w:w="1881"/>
          </w:tcPr>
          <w:p>
            <w:pPr>
              <w:jc w:val="center"/>
            </w:pPr>
            <w:r>
              <w:rPr>
                <w:rFonts w:ascii="Times New Roman" w:hAnsi="Times New Roman"/>
                <w:sz w:val="20"/>
              </w:rPr>
              <w:t>PT Raised</w:t>
            </w:r>
          </w:p>
        </w:tc>
        <w:tc>
          <w:tcPr>
            <w:tcW w:type="dxa" w:w="1881"/>
          </w:tcPr>
          <w:p>
            <w:pPr>
              <w:jc w:val="center"/>
            </w:pPr>
            <w:r>
              <w:rPr>
                <w:rFonts w:ascii="Times New Roman" w:hAnsi="Times New Roman"/>
                <w:sz w:val="20"/>
              </w:rPr>
              <w:t>Strong Buy</w:t>
            </w:r>
          </w:p>
        </w:tc>
        <w:tc>
          <w:tcPr>
            <w:tcW w:type="dxa" w:w="1881"/>
          </w:tcPr>
          <w:p>
            <w:pPr>
              <w:jc w:val="center"/>
            </w:pPr>
            <w:r>
              <w:rPr>
                <w:rFonts w:ascii="Times New Roman" w:hAnsi="Times New Roman"/>
                <w:sz w:val="20"/>
              </w:rPr>
              <w:t>$56 → $58</w:t>
            </w:r>
          </w:p>
        </w:tc>
      </w:tr>
      <w:tr>
        <w:tc>
          <w:tcPr>
            <w:tcW w:type="dxa" w:w="1881"/>
          </w:tcPr>
          <w:p>
            <w:pPr>
              <w:jc w:val="left"/>
            </w:pPr>
            <w:r>
              <w:rPr>
                <w:rFonts w:ascii="Times New Roman" w:hAnsi="Times New Roman"/>
                <w:sz w:val="20"/>
              </w:rPr>
              <w:t>Freedom Capital Markets</w:t>
            </w:r>
          </w:p>
        </w:tc>
        <w:tc>
          <w:tcPr>
            <w:tcW w:type="dxa" w:w="1881"/>
          </w:tcPr>
          <w:p>
            <w:pPr>
              <w:jc w:val="center"/>
            </w:pPr>
            <w:r>
              <w:rPr>
                <w:rFonts w:ascii="Times New Roman" w:hAnsi="Times New Roman"/>
                <w:sz w:val="20"/>
              </w:rPr>
              <w:t>Paul Meeks</w:t>
            </w:r>
          </w:p>
        </w:tc>
        <w:tc>
          <w:tcPr>
            <w:tcW w:type="dxa" w:w="1881"/>
          </w:tcPr>
          <w:p>
            <w:pPr>
              <w:jc w:val="center"/>
            </w:pPr>
            <w:r>
              <w:rPr>
                <w:rFonts w:ascii="Times New Roman" w:hAnsi="Times New Roman"/>
                <w:sz w:val="20"/>
              </w:rPr>
              <w:t>Initiated</w:t>
            </w:r>
          </w:p>
        </w:tc>
        <w:tc>
          <w:tcPr>
            <w:tcW w:type="dxa" w:w="1881"/>
          </w:tcPr>
          <w:p>
            <w:pPr>
              <w:jc w:val="center"/>
            </w:pPr>
            <w:r>
              <w:rPr>
                <w:rFonts w:ascii="Times New Roman" w:hAnsi="Times New Roman"/>
                <w:sz w:val="20"/>
              </w:rPr>
              <w:t>Strong Buy</w:t>
            </w:r>
          </w:p>
        </w:tc>
        <w:tc>
          <w:tcPr>
            <w:tcW w:type="dxa" w:w="1881"/>
          </w:tcPr>
          <w:p>
            <w:pPr>
              <w:jc w:val="center"/>
            </w:pPr>
            <w:r>
              <w:rPr>
                <w:rFonts w:ascii="Times New Roman" w:hAnsi="Times New Roman"/>
                <w:sz w:val="20"/>
              </w:rPr>
              <w:t>$36</w:t>
            </w:r>
          </w:p>
        </w:tc>
      </w:tr>
      <w:tr>
        <w:tc>
          <w:tcPr>
            <w:tcW w:type="dxa" w:w="1881"/>
          </w:tcPr>
          <w:p>
            <w:pPr>
              <w:jc w:val="left"/>
            </w:pPr>
            <w:r>
              <w:rPr>
                <w:rFonts w:ascii="Times New Roman" w:hAnsi="Times New Roman"/>
                <w:sz w:val="20"/>
              </w:rPr>
              <w:t>Arete Research</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Initiated</w:t>
            </w:r>
          </w:p>
        </w:tc>
        <w:tc>
          <w:tcPr>
            <w:tcW w:type="dxa" w:w="1881"/>
          </w:tcPr>
          <w:p>
            <w:pPr>
              <w:jc w:val="center"/>
            </w:pPr>
            <w:r>
              <w:rPr>
                <w:rFonts w:ascii="Times New Roman" w:hAnsi="Times New Roman"/>
                <w:sz w:val="20"/>
              </w:rPr>
              <w:t>Buy</w:t>
            </w:r>
          </w:p>
        </w:tc>
        <w:tc>
          <w:tcPr>
            <w:tcW w:type="dxa" w:w="1881"/>
          </w:tcPr>
          <w:p>
            <w:pPr>
              <w:jc w:val="center"/>
            </w:pPr>
            <w:r>
              <w:rPr>
                <w:rFonts w:ascii="Times New Roman" w:hAnsi="Times New Roman"/>
                <w:sz w:val="20"/>
              </w:rPr>
              <w:t>$99</w:t>
            </w:r>
          </w:p>
        </w:tc>
      </w:tr>
      <w:tr>
        <w:tc>
          <w:tcPr>
            <w:tcW w:type="dxa" w:w="1881"/>
          </w:tcPr>
          <w:p>
            <w:pPr>
              <w:jc w:val="left"/>
            </w:pPr>
            <w:r>
              <w:rPr>
                <w:rFonts w:ascii="Times New Roman" w:hAnsi="Times New Roman"/>
                <w:sz w:val="20"/>
              </w:rPr>
              <w:t>Needham</w:t>
            </w:r>
          </w:p>
        </w:tc>
        <w:tc>
          <w:tcPr>
            <w:tcW w:type="dxa" w:w="1881"/>
          </w:tcPr>
          <w:p>
            <w:pPr>
              <w:jc w:val="center"/>
            </w:pPr>
            <w:r>
              <w:rPr>
                <w:rFonts w:ascii="Times New Roman" w:hAnsi="Times New Roman"/>
                <w:sz w:val="20"/>
              </w:rPr>
              <w:t>John Todaro</w:t>
            </w:r>
          </w:p>
        </w:tc>
        <w:tc>
          <w:tcPr>
            <w:tcW w:type="dxa" w:w="1881"/>
          </w:tcPr>
          <w:p>
            <w:pPr>
              <w:jc w:val="center"/>
            </w:pPr>
            <w:r>
              <w:rPr>
                <w:rFonts w:ascii="Times New Roman" w:hAnsi="Times New Roman"/>
                <w:sz w:val="20"/>
              </w:rPr>
              <w:t>Reiterated</w:t>
            </w:r>
          </w:p>
        </w:tc>
        <w:tc>
          <w:tcPr>
            <w:tcW w:type="dxa" w:w="1881"/>
          </w:tcPr>
          <w:p>
            <w:pPr>
              <w:jc w:val="center"/>
            </w:pPr>
            <w:r>
              <w:rPr>
                <w:rFonts w:ascii="Times New Roman" w:hAnsi="Times New Roman"/>
                <w:sz w:val="20"/>
              </w:rPr>
              <w:t>Strong Buy</w:t>
            </w:r>
          </w:p>
        </w:tc>
        <w:tc>
          <w:tcPr>
            <w:tcW w:type="dxa" w:w="1881"/>
          </w:tcPr>
          <w:p>
            <w:pPr>
              <w:jc w:val="center"/>
            </w:pPr>
            <w:r>
              <w:rPr>
                <w:rFonts w:ascii="Times New Roman" w:hAnsi="Times New Roman"/>
                <w:sz w:val="20"/>
              </w:rPr>
              <w:t>$41</w:t>
            </w:r>
          </w:p>
        </w:tc>
      </w:tr>
      <w:tr>
        <w:tc>
          <w:tcPr>
            <w:tcW w:type="dxa" w:w="1881"/>
          </w:tcPr>
          <w:p>
            <w:pPr>
              <w:jc w:val="left"/>
            </w:pPr>
            <w:r>
              <w:rPr>
                <w:rFonts w:ascii="Times New Roman" w:hAnsi="Times New Roman"/>
                <w:sz w:val="20"/>
              </w:rPr>
              <w:t>Northland Capital</w:t>
            </w:r>
          </w:p>
        </w:tc>
        <w:tc>
          <w:tcPr>
            <w:tcW w:type="dxa" w:w="1881"/>
          </w:tcPr>
          <w:p>
            <w:pPr>
              <w:jc w:val="center"/>
            </w:pPr>
            <w:r>
              <w:rPr>
                <w:rFonts w:ascii="Times New Roman" w:hAnsi="Times New Roman"/>
                <w:sz w:val="20"/>
              </w:rPr>
              <w:t>Mike Grondahl</w:t>
            </w:r>
          </w:p>
        </w:tc>
        <w:tc>
          <w:tcPr>
            <w:tcW w:type="dxa" w:w="1881"/>
          </w:tcPr>
          <w:p>
            <w:pPr>
              <w:jc w:val="center"/>
            </w:pPr>
            <w:r>
              <w:rPr>
                <w:rFonts w:ascii="Times New Roman" w:hAnsi="Times New Roman"/>
                <w:sz w:val="20"/>
              </w:rPr>
              <w:t>Maintained</w:t>
            </w:r>
          </w:p>
        </w:tc>
        <w:tc>
          <w:tcPr>
            <w:tcW w:type="dxa" w:w="1881"/>
          </w:tcPr>
          <w:p>
            <w:pPr>
              <w:jc w:val="center"/>
            </w:pPr>
            <w:r>
              <w:rPr>
                <w:rFonts w:ascii="Times New Roman" w:hAnsi="Times New Roman"/>
                <w:sz w:val="20"/>
              </w:rPr>
              <w:t>Buy</w:t>
            </w:r>
          </w:p>
        </w:tc>
        <w:tc>
          <w:tcPr>
            <w:tcW w:type="dxa" w:w="1881"/>
          </w:tcPr>
          <w:p>
            <w:pPr>
              <w:jc w:val="center"/>
            </w:pPr>
            <w:r>
              <w:rPr>
                <w:rFonts w:ascii="Times New Roman" w:hAnsi="Times New Roman"/>
                <w:sz w:val="20"/>
              </w:rPr>
              <w:t>$40</w:t>
            </w:r>
          </w:p>
        </w:tc>
      </w:tr>
    </w:tbl>
    <w:p>
      <w:pPr>
        <w:spacing w:after="240"/>
      </w:pPr>
      <w:r>
        <w:rPr>
          <w:rFonts w:ascii="Times New Roman" w:hAnsi="Times New Roman"/>
          <w:b w:val="0"/>
          <w:i/>
          <w:color w:val="777777"/>
          <w:sz w:val="16"/>
        </w:rPr>
        <w:t>Source: StockAnalysis.com, MarketBeat (January 2026)</w:t>
      </w:r>
    </w:p>
    <w:p>
      <w:pPr>
        <w:pStyle w:val="Heading1"/>
      </w:pPr>
      <w:r>
        <w:rPr>
          <w:rFonts w:ascii="Times New Roman" w:hAnsi="Times New Roman"/>
          <w:color w:val="17365D"/>
        </w:rPr>
        <w:t>Sources &amp; References</w:t>
      </w:r>
    </w:p>
    <w:p>
      <w:pPr>
        <w:spacing w:after="80"/>
      </w:pPr>
      <w:r>
        <w:rPr>
          <w:sz w:val="20"/>
        </w:rPr>
        <w:t xml:space="preserve">  </w:t>
      </w:r>
      <w:hyperlink r:id="rId20">
        <w:r>
          <w:rPr>
            <w:rStyle w:val="Hyperlink"/>
            <w:rFonts w:ascii="Times New Roman" w:hAnsi="Times New Roman"/>
          </w:rPr>
          <w:t>Earnings Release (January 7, 2026)</w:t>
        </w:r>
      </w:hyperlink>
    </w:p>
    <w:p>
      <w:pPr>
        <w:spacing w:after="80"/>
      </w:pPr>
      <w:r>
        <w:rPr>
          <w:sz w:val="20"/>
        </w:rPr>
        <w:t xml:space="preserve">  </w:t>
      </w:r>
      <w:hyperlink r:id="rId21">
        <w:r>
          <w:rPr>
            <w:rStyle w:val="Hyperlink"/>
            <w:rFonts w:ascii="Times New Roman" w:hAnsi="Times New Roman"/>
          </w:rPr>
          <w:t>Q1 FY2026 Earnings Release (October 9, 2025)</w:t>
        </w:r>
      </w:hyperlink>
    </w:p>
    <w:p>
      <w:pPr>
        <w:spacing w:after="80"/>
      </w:pPr>
      <w:r>
        <w:rPr>
          <w:sz w:val="20"/>
        </w:rPr>
        <w:t xml:space="preserve">  </w:t>
      </w:r>
      <w:hyperlink r:id="rId22">
        <w:r>
          <w:rPr>
            <w:rStyle w:val="Hyperlink"/>
            <w:rFonts w:ascii="Times New Roman" w:hAnsi="Times New Roman"/>
          </w:rPr>
          <w:t>Earnings Call Transcript (January 7, 2026)</w:t>
        </w:r>
      </w:hyperlink>
    </w:p>
    <w:p>
      <w:pPr>
        <w:spacing w:after="80"/>
      </w:pPr>
      <w:r>
        <w:rPr>
          <w:sz w:val="20"/>
        </w:rPr>
        <w:t xml:space="preserve">  </w:t>
      </w:r>
      <w:hyperlink r:id="rId23">
        <w:r>
          <w:rPr>
            <w:rStyle w:val="Hyperlink"/>
            <w:rFonts w:ascii="Times New Roman" w:hAnsi="Times New Roman"/>
          </w:rPr>
          <w:t>Applied Digital Investor Relations</w:t>
        </w:r>
      </w:hyperlink>
    </w:p>
    <w:p>
      <w:pPr>
        <w:spacing w:after="80"/>
      </w:pPr>
      <w:r>
        <w:rPr>
          <w:sz w:val="20"/>
        </w:rPr>
        <w:t xml:space="preserve">  </w:t>
      </w:r>
      <w:hyperlink r:id="rId24">
        <w:r>
          <w:rPr>
            <w:rStyle w:val="Hyperlink"/>
            <w:rFonts w:ascii="Times New Roman" w:hAnsi="Times New Roman"/>
          </w:rPr>
          <w:t>APLD Analyst Forecasts — StockAnalysis.com</w:t>
        </w:r>
      </w:hyperlink>
    </w:p>
    <w:p>
      <w:pPr>
        <w:spacing w:after="80"/>
      </w:pPr>
      <w:r>
        <w:rPr>
          <w:sz w:val="20"/>
        </w:rPr>
        <w:t xml:space="preserve">  </w:t>
      </w:r>
      <w:hyperlink r:id="rId25">
        <w:r>
          <w:rPr>
            <w:rStyle w:val="Hyperlink"/>
            <w:rFonts w:ascii="Times New Roman" w:hAnsi="Times New Roman"/>
          </w:rPr>
          <w:t>Yahoo Finance — APLD</w:t>
        </w:r>
      </w:hyperlink>
    </w:p>
    <w:p/>
    <w:p>
      <w:pPr>
        <w:spacing w:after="120"/>
      </w:pPr>
      <w:r>
        <w:rPr>
          <w:rFonts w:ascii="Times New Roman" w:hAnsi="Times New Roman"/>
          <w:b w:val="0"/>
          <w:i/>
          <w:color w:val="777777"/>
          <w:sz w:val="16"/>
        </w:rPr>
        <w:t>DISCLAIMER: This report is for informational purposes only and does not constitute investment advice. All estimates are based on publicly available information and analyst consensus as of the date indicated. Past performance is not indicative of future results. Investors should conduct their own due diligence before making investment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ir.applieddigital.com/news-events/press-releases/detail/142/applied-digital-reports-fiscal-second-quarter-2026-results" TargetMode="External"/><Relationship Id="rId21" Type="http://schemas.openxmlformats.org/officeDocument/2006/relationships/hyperlink" Target="https://ir.applieddigital.com/news-events/press-releases/detail/131/applied-digital-reports-fiscal-first-quarter-2026-results" TargetMode="External"/><Relationship Id="rId22" Type="http://schemas.openxmlformats.org/officeDocument/2006/relationships/hyperlink" Target="https://www.fool.com/earnings/call-transcripts/2026/01/15/applied-digital-q2-2026-earnings-call-transcript/" TargetMode="External"/><Relationship Id="rId23" Type="http://schemas.openxmlformats.org/officeDocument/2006/relationships/hyperlink" Target="https://ir.applieddigital.com/" TargetMode="External"/><Relationship Id="rId24" Type="http://schemas.openxmlformats.org/officeDocument/2006/relationships/hyperlink" Target="https://stockanalysis.com/stocks/apld/forecast/" TargetMode="External"/><Relationship Id="rId25" Type="http://schemas.openxmlformats.org/officeDocument/2006/relationships/hyperlink" Target="https://finance.yahoo.com/quote/AP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