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17365D"/>
          <w:sz w:val="32"/>
        </w:rPr>
        <w:t>COLGATE-PALMOLIVE COMPANY (CL)</w:t>
      </w:r>
    </w:p>
    <w:p>
      <w:pPr>
        <w:spacing w:after="80"/>
      </w:pPr>
      <w:r>
        <w:rPr>
          <w:rFonts w:ascii="Times New Roman" w:hAnsi="Times New Roman"/>
          <w:b w:val="0"/>
          <w:color w:val="000000"/>
          <w:sz w:val="22"/>
        </w:rPr>
        <w:t xml:space="preserve">Rating: </w:t>
      </w:r>
      <w:r>
        <w:rPr>
          <w:rFonts w:ascii="Times New Roman" w:hAnsi="Times New Roman"/>
          <w:b/>
          <w:color w:val="2ECC71"/>
          <w:sz w:val="22"/>
        </w:rPr>
        <w:t>BUY</w:t>
      </w:r>
      <w:r>
        <w:rPr>
          <w:rFonts w:ascii="Times New Roman" w:hAnsi="Times New Roman"/>
          <w:b w:val="0"/>
          <w:color w:val="000000"/>
          <w:sz w:val="22"/>
        </w:rPr>
        <w:t xml:space="preserve">  |  Price: $93.56</w:t>
      </w:r>
      <w:r>
        <w:rPr>
          <w:rFonts w:ascii="Times New Roman" w:hAnsi="Times New Roman"/>
          <w:b w:val="0"/>
          <w:color w:val="000000"/>
          <w:sz w:val="22"/>
        </w:rPr>
        <w:t xml:space="preserve">  |  Price Target: $100.00</w:t>
      </w:r>
      <w:r>
        <w:rPr>
          <w:rFonts w:ascii="Times New Roman" w:hAnsi="Times New Roman"/>
          <w:b/>
          <w:color w:val="2ECC71"/>
          <w:sz w:val="22"/>
        </w:rPr>
        <w:t xml:space="preserve">  |  Upside: +7%</w:t>
      </w:r>
    </w:p>
    <w:p>
      <w:pPr>
        <w:spacing w:after="240"/>
      </w:pPr>
      <w:r>
        <w:rPr>
          <w:rFonts w:ascii="Times New Roman" w:hAnsi="Times New Roman"/>
          <w:b w:val="0"/>
          <w:i/>
          <w:color w:val="777777"/>
          <w:sz w:val="20"/>
        </w:rPr>
        <w:t>Q4 2025 &amp; Full-Year Earnings Update  |  January 31, 2026  |  Consumer Staples / Household &amp; Personal Care</w:t>
      </w:r>
    </w:p>
    <w:p>
      <w:pPr>
        <w:pStyle w:val="Heading2"/>
      </w:pPr>
      <w:r>
        <w:rPr>
          <w:rFonts w:ascii="Times New Roman" w:hAnsi="Times New Roman"/>
          <w:color w:val="17365D"/>
        </w:rPr>
        <w:t>Earnings Summary: Revenue &amp; EPS BEAT</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Metric</w:t>
            </w:r>
          </w:p>
        </w:tc>
        <w:tc>
          <w:tcPr>
            <w:tcW w:type="dxa" w:w="1881"/>
          </w:tcPr>
          <w:p>
            <w:pPr>
              <w:jc w:val="center"/>
            </w:pPr>
            <w:r>
              <w:rPr>
                <w:rFonts w:ascii="Times New Roman" w:hAnsi="Times New Roman"/>
                <w:b/>
                <w:sz w:val="20"/>
              </w:rPr>
              <w:t>Actual</w:t>
            </w:r>
          </w:p>
        </w:tc>
        <w:tc>
          <w:tcPr>
            <w:tcW w:type="dxa" w:w="1881"/>
          </w:tcPr>
          <w:p>
            <w:pPr>
              <w:jc w:val="center"/>
            </w:pPr>
            <w:r>
              <w:rPr>
                <w:rFonts w:ascii="Times New Roman" w:hAnsi="Times New Roman"/>
                <w:b/>
                <w:sz w:val="20"/>
              </w:rPr>
              <w:t>Consensus</w:t>
            </w:r>
          </w:p>
        </w:tc>
        <w:tc>
          <w:tcPr>
            <w:tcW w:type="dxa" w:w="1881"/>
          </w:tcPr>
          <w:p>
            <w:pPr>
              <w:jc w:val="center"/>
            </w:pPr>
            <w:r>
              <w:rPr>
                <w:rFonts w:ascii="Times New Roman" w:hAnsi="Times New Roman"/>
                <w:b/>
                <w:sz w:val="20"/>
              </w:rPr>
              <w:t>Variance</w:t>
            </w:r>
          </w:p>
        </w:tc>
        <w:tc>
          <w:tcPr>
            <w:tcW w:type="dxa" w:w="1881"/>
          </w:tcPr>
          <w:p>
            <w:pPr>
              <w:jc w:val="center"/>
            </w:pPr>
            <w:r>
              <w:rPr>
                <w:rFonts w:ascii="Times New Roman" w:hAnsi="Times New Roman"/>
                <w:b/>
                <w:sz w:val="20"/>
              </w:rPr>
              <w:t>Result</w:t>
            </w:r>
          </w:p>
        </w:tc>
      </w:tr>
      <w:tr>
        <w:tc>
          <w:tcPr>
            <w:tcW w:type="dxa" w:w="1881"/>
          </w:tcPr>
          <w:p>
            <w:pPr>
              <w:jc w:val="left"/>
            </w:pPr>
            <w:r>
              <w:rPr>
                <w:rFonts w:ascii="Times New Roman" w:hAnsi="Times New Roman"/>
                <w:sz w:val="20"/>
              </w:rPr>
              <w:t>Revenue</w:t>
            </w:r>
          </w:p>
        </w:tc>
        <w:tc>
          <w:tcPr>
            <w:tcW w:type="dxa" w:w="1881"/>
          </w:tcPr>
          <w:p>
            <w:pPr>
              <w:jc w:val="center"/>
            </w:pPr>
            <w:r>
              <w:rPr>
                <w:rFonts w:ascii="Times New Roman" w:hAnsi="Times New Roman"/>
                <w:sz w:val="20"/>
              </w:rPr>
              <w:t>$5,230M</w:t>
            </w:r>
          </w:p>
        </w:tc>
        <w:tc>
          <w:tcPr>
            <w:tcW w:type="dxa" w:w="1881"/>
          </w:tcPr>
          <w:p>
            <w:pPr>
              <w:jc w:val="center"/>
            </w:pPr>
            <w:r>
              <w:rPr>
                <w:rFonts w:ascii="Times New Roman" w:hAnsi="Times New Roman"/>
                <w:sz w:val="20"/>
              </w:rPr>
              <w:t>$5,120M</w:t>
            </w:r>
          </w:p>
        </w:tc>
        <w:tc>
          <w:tcPr>
            <w:tcW w:type="dxa" w:w="1881"/>
          </w:tcPr>
          <w:p>
            <w:pPr>
              <w:jc w:val="center"/>
            </w:pPr>
            <w:r>
              <w:rPr>
                <w:rFonts w:ascii="Times New Roman" w:hAnsi="Times New Roman"/>
                <w:sz w:val="20"/>
              </w:rPr>
              <w:t>+$110M (+2.1%)</w:t>
            </w:r>
          </w:p>
        </w:tc>
        <w:tc>
          <w:tcPr>
            <w:tcW w:type="dxa" w:w="1881"/>
          </w:tcPr>
          <w:p>
            <w:pPr>
              <w:jc w:val="center"/>
            </w:pPr>
            <w:r>
              <w:rPr>
                <w:rFonts w:ascii="Times New Roman" w:hAnsi="Times New Roman"/>
                <w:sz w:val="20"/>
              </w:rPr>
              <w:t>BEAT</w:t>
            </w:r>
          </w:p>
        </w:tc>
      </w:tr>
      <w:tr>
        <w:tc>
          <w:tcPr>
            <w:tcW w:type="dxa" w:w="1881"/>
          </w:tcPr>
          <w:p>
            <w:pPr>
              <w:jc w:val="left"/>
            </w:pPr>
            <w:r>
              <w:rPr>
                <w:rFonts w:ascii="Times New Roman" w:hAnsi="Times New Roman"/>
                <w:sz w:val="20"/>
              </w:rPr>
              <w:t>Base Business EPS</w:t>
            </w:r>
          </w:p>
        </w:tc>
        <w:tc>
          <w:tcPr>
            <w:tcW w:type="dxa" w:w="1881"/>
          </w:tcPr>
          <w:p>
            <w:pPr>
              <w:jc w:val="center"/>
            </w:pPr>
            <w:r>
              <w:rPr>
                <w:rFonts w:ascii="Times New Roman" w:hAnsi="Times New Roman"/>
                <w:sz w:val="20"/>
              </w:rPr>
              <w:t>$0.95</w:t>
            </w:r>
          </w:p>
        </w:tc>
        <w:tc>
          <w:tcPr>
            <w:tcW w:type="dxa" w:w="1881"/>
          </w:tcPr>
          <w:p>
            <w:pPr>
              <w:jc w:val="center"/>
            </w:pPr>
            <w:r>
              <w:rPr>
                <w:rFonts w:ascii="Times New Roman" w:hAnsi="Times New Roman"/>
                <w:sz w:val="20"/>
              </w:rPr>
              <w:t>$0.91</w:t>
            </w:r>
          </w:p>
        </w:tc>
        <w:tc>
          <w:tcPr>
            <w:tcW w:type="dxa" w:w="1881"/>
          </w:tcPr>
          <w:p>
            <w:pPr>
              <w:jc w:val="center"/>
            </w:pPr>
            <w:r>
              <w:rPr>
                <w:rFonts w:ascii="Times New Roman" w:hAnsi="Times New Roman"/>
                <w:sz w:val="20"/>
              </w:rPr>
              <w:t>+$0.04 (+4.4%)</w:t>
            </w:r>
          </w:p>
        </w:tc>
        <w:tc>
          <w:tcPr>
            <w:tcW w:type="dxa" w:w="1881"/>
          </w:tcPr>
          <w:p>
            <w:pPr>
              <w:jc w:val="center"/>
            </w:pPr>
            <w:r>
              <w:rPr>
                <w:rFonts w:ascii="Times New Roman" w:hAnsi="Times New Roman"/>
                <w:sz w:val="20"/>
              </w:rPr>
              <w:t>BEAT</w:t>
            </w:r>
          </w:p>
        </w:tc>
      </w:tr>
      <w:tr>
        <w:tc>
          <w:tcPr>
            <w:tcW w:type="dxa" w:w="1881"/>
          </w:tcPr>
          <w:p>
            <w:pPr>
              <w:jc w:val="left"/>
            </w:pPr>
            <w:r>
              <w:rPr>
                <w:rFonts w:ascii="Times New Roman" w:hAnsi="Times New Roman"/>
                <w:sz w:val="20"/>
              </w:rPr>
              <w:t>GAAP EPS</w:t>
            </w:r>
          </w:p>
        </w:tc>
        <w:tc>
          <w:tcPr>
            <w:tcW w:type="dxa" w:w="1881"/>
          </w:tcPr>
          <w:p>
            <w:pPr>
              <w:jc w:val="center"/>
            </w:pPr>
            <w:r>
              <w:rPr>
                <w:rFonts w:ascii="Times New Roman" w:hAnsi="Times New Roman"/>
                <w:sz w:val="20"/>
              </w:rPr>
              <w:t>$(0.05)</w:t>
            </w:r>
          </w:p>
        </w:tc>
        <w:tc>
          <w:tcPr>
            <w:tcW w:type="dxa" w:w="1881"/>
          </w:tcPr>
          <w:p>
            <w:pPr>
              <w:jc w:val="center"/>
            </w:pPr>
            <w:r>
              <w:rPr>
                <w:rFonts w:ascii="Times New Roman" w:hAnsi="Times New Roman"/>
                <w:sz w:val="20"/>
              </w:rPr>
              <w:t>$0.91</w:t>
            </w:r>
          </w:p>
        </w:tc>
        <w:tc>
          <w:tcPr>
            <w:tcW w:type="dxa" w:w="1881"/>
          </w:tcPr>
          <w:p>
            <w:pPr>
              <w:jc w:val="center"/>
            </w:pPr>
            <w:r>
              <w:rPr>
                <w:rFonts w:ascii="Times New Roman" w:hAnsi="Times New Roman"/>
                <w:sz w:val="20"/>
              </w:rPr>
              <w:t>N/M (Impairment)</w:t>
            </w:r>
          </w:p>
        </w:tc>
        <w:tc>
          <w:tcPr>
            <w:tcW w:type="dxa" w:w="1881"/>
          </w:tcPr>
          <w:p>
            <w:pPr>
              <w:jc w:val="center"/>
            </w:pPr>
            <w:r>
              <w:rPr>
                <w:rFonts w:ascii="Times New Roman" w:hAnsi="Times New Roman"/>
                <w:sz w:val="20"/>
              </w:rPr>
              <w:t>MISS*</w:t>
            </w:r>
          </w:p>
        </w:tc>
      </w:tr>
      <w:tr>
        <w:tc>
          <w:tcPr>
            <w:tcW w:type="dxa" w:w="1881"/>
          </w:tcPr>
          <w:p>
            <w:pPr>
              <w:jc w:val="left"/>
            </w:pPr>
            <w:r>
              <w:rPr>
                <w:rFonts w:ascii="Times New Roman" w:hAnsi="Times New Roman"/>
                <w:sz w:val="20"/>
              </w:rPr>
              <w:t>Organic Sales Growth</w:t>
            </w:r>
          </w:p>
        </w:tc>
        <w:tc>
          <w:tcPr>
            <w:tcW w:type="dxa" w:w="1881"/>
          </w:tcPr>
          <w:p>
            <w:pPr>
              <w:jc w:val="center"/>
            </w:pPr>
            <w:r>
              <w:rPr>
                <w:rFonts w:ascii="Times New Roman" w:hAnsi="Times New Roman"/>
                <w:sz w:val="20"/>
              </w:rPr>
              <w:t>+2.2%</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vs. +0.4% in Q3</w:t>
            </w:r>
          </w:p>
        </w:tc>
        <w:tc>
          <w:tcPr>
            <w:tcW w:type="dxa" w:w="1881"/>
          </w:tcPr>
          <w:p>
            <w:pPr>
              <w:jc w:val="center"/>
            </w:pPr>
            <w:r>
              <w:rPr>
                <w:rFonts w:ascii="Times New Roman" w:hAnsi="Times New Roman"/>
                <w:sz w:val="20"/>
              </w:rPr>
              <w:t>Accelerating</w:t>
            </w:r>
          </w:p>
        </w:tc>
      </w:tr>
    </w:tbl>
    <w:p>
      <w:pPr>
        <w:spacing w:after="240"/>
      </w:pPr>
      <w:r>
        <w:rPr>
          <w:rFonts w:ascii="Times New Roman" w:hAnsi="Times New Roman"/>
          <w:b w:val="0"/>
          <w:i/>
          <w:color w:val="777777"/>
          <w:sz w:val="16"/>
        </w:rPr>
        <w:t>*GAAP miss driven by $794M after-tax non-cash Filorga impairment charge; not indicative of operating performance.</w:t>
      </w:r>
    </w:p>
    <w:p>
      <w:pPr>
        <w:pStyle w:val="Heading3"/>
      </w:pPr>
      <w:r>
        <w:rPr>
          <w:rFonts w:ascii="Times New Roman" w:hAnsi="Times New Roman"/>
          <w:color w:val="17365D"/>
        </w:rPr>
        <w:t>Key Takeaways</w:t>
      </w:r>
    </w:p>
    <w:p>
      <w:pPr>
        <w:pStyle w:val="ListBullet"/>
      </w:pPr>
      <w:r>
        <w:rPr>
          <w:rFonts w:ascii="Times New Roman" w:hAnsi="Times New Roman"/>
          <w:b/>
          <w:sz w:val="22"/>
        </w:rPr>
        <w:t xml:space="preserve">Sequential acceleration is the headline: </w:t>
      </w:r>
      <w:r>
        <w:rPr>
          <w:rFonts w:ascii="Times New Roman" w:hAnsi="Times New Roman"/>
          <w:sz w:val="22"/>
        </w:rPr>
        <w:t>Q4 organic growth accelerated to +2.2% from Q3's +0.4%, led by emerging markets strength in Africa/Eurasia (+10.3%) and Latin America (+6.5%). Underlying organic growth was ~3.1% excluding the private label pet food exit. The sequential improvement signals Colgate is navigating the soft category backdrop better than feared.</w:t>
      </w:r>
    </w:p>
    <w:p>
      <w:pPr>
        <w:pStyle w:val="ListBullet"/>
      </w:pPr>
      <w:r>
        <w:rPr>
          <w:rFonts w:ascii="Times New Roman" w:hAnsi="Times New Roman"/>
          <w:b/>
          <w:sz w:val="22"/>
        </w:rPr>
        <w:t xml:space="preserve">Cash machine firing on all cylinders: </w:t>
      </w:r>
      <w:r>
        <w:rPr>
          <w:rFonts w:ascii="Times New Roman" w:hAnsi="Times New Roman"/>
          <w:sz w:val="22"/>
        </w:rPr>
        <w:t>Record operating cash flow of $4.2B and free cash flow of $3.6B enabled $2.9B in shareholder returns (dividends + buybacks). The 63-year consecutive dividend increase streak continues. This cash generation consistency is the core of the Colgate investment case.</w:t>
      </w:r>
    </w:p>
    <w:p>
      <w:pPr>
        <w:pStyle w:val="ListBullet"/>
      </w:pPr>
      <w:r>
        <w:rPr>
          <w:rFonts w:ascii="Times New Roman" w:hAnsi="Times New Roman"/>
          <w:b/>
          <w:sz w:val="22"/>
        </w:rPr>
        <w:t xml:space="preserve">Filorga write-down is a one-time event: </w:t>
      </w:r>
      <w:r>
        <w:rPr>
          <w:rFonts w:ascii="Times New Roman" w:hAnsi="Times New Roman"/>
          <w:sz w:val="22"/>
        </w:rPr>
        <w:t>The $794M after-tax non-cash impairment of Filorga skin health goodwill and intangibles caused a GAAP loss of $(0.05). This is a write-down of the 2019 acquisition and signals Colgate may be reassessing its premium skin care strategy. No operational impact.</w:t>
      </w:r>
    </w:p>
    <w:p>
      <w:pPr>
        <w:pStyle w:val="ListBullet"/>
      </w:pPr>
      <w:r>
        <w:rPr>
          <w:rFonts w:ascii="Times New Roman" w:hAnsi="Times New Roman"/>
          <w:b/>
          <w:sz w:val="22"/>
        </w:rPr>
        <w:t xml:space="preserve">FY2026 guidance is credible: </w:t>
      </w:r>
      <w:r>
        <w:rPr>
          <w:rFonts w:ascii="Times New Roman" w:hAnsi="Times New Roman"/>
          <w:sz w:val="22"/>
        </w:rPr>
        <w:t>Organic sales guidance of +1% to +4% with gross margin expansion, base business EPS growth of low-to-mid-single digits, and increased advertising investment. Conservative but achievable, with scenario-based framing reflecting management's candor about category uncertainty.</w:t>
      </w:r>
    </w:p>
    <w:p>
      <w:pPr>
        <w:pStyle w:val="Heading3"/>
      </w:pPr>
      <w:r>
        <w:rPr>
          <w:rFonts w:ascii="Times New Roman" w:hAnsi="Times New Roman"/>
          <w:color w:val="17365D"/>
        </w:rPr>
        <w:t>Updated Financial Estimates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Metric</w:t>
            </w:r>
          </w:p>
        </w:tc>
        <w:tc>
          <w:tcPr>
            <w:tcW w:type="dxa" w:w="1881"/>
          </w:tcPr>
          <w:p>
            <w:pPr>
              <w:jc w:val="center"/>
            </w:pPr>
            <w:r>
              <w:rPr>
                <w:rFonts w:ascii="Times New Roman" w:hAnsi="Times New Roman"/>
                <w:b/>
                <w:sz w:val="20"/>
              </w:rPr>
              <w:t>FY2025A</w:t>
            </w:r>
          </w:p>
        </w:tc>
        <w:tc>
          <w:tcPr>
            <w:tcW w:type="dxa" w:w="1881"/>
          </w:tcPr>
          <w:p>
            <w:pPr>
              <w:jc w:val="center"/>
            </w:pPr>
            <w:r>
              <w:rPr>
                <w:rFonts w:ascii="Times New Roman" w:hAnsi="Times New Roman"/>
                <w:b/>
                <w:sz w:val="20"/>
              </w:rPr>
              <w:t>FY2026E (Old)</w:t>
            </w:r>
          </w:p>
        </w:tc>
        <w:tc>
          <w:tcPr>
            <w:tcW w:type="dxa" w:w="1881"/>
          </w:tcPr>
          <w:p>
            <w:pPr>
              <w:jc w:val="center"/>
            </w:pPr>
            <w:r>
              <w:rPr>
                <w:rFonts w:ascii="Times New Roman" w:hAnsi="Times New Roman"/>
                <w:b/>
                <w:sz w:val="20"/>
              </w:rPr>
              <w:t>FY2026E (New)</w:t>
            </w:r>
          </w:p>
        </w:tc>
        <w:tc>
          <w:tcPr>
            <w:tcW w:type="dxa" w:w="1881"/>
          </w:tcPr>
          <w:p>
            <w:pPr>
              <w:jc w:val="center"/>
            </w:pPr>
            <w:r>
              <w:rPr>
                <w:rFonts w:ascii="Times New Roman" w:hAnsi="Times New Roman"/>
                <w:b/>
                <w:sz w:val="20"/>
              </w:rPr>
              <w:t>FY2027E</w:t>
            </w:r>
          </w:p>
        </w:tc>
      </w:tr>
      <w:tr>
        <w:tc>
          <w:tcPr>
            <w:tcW w:type="dxa" w:w="1881"/>
          </w:tcPr>
          <w:p>
            <w:pPr>
              <w:jc w:val="left"/>
            </w:pPr>
            <w:r>
              <w:rPr>
                <w:rFonts w:ascii="Times New Roman" w:hAnsi="Times New Roman"/>
                <w:sz w:val="20"/>
              </w:rPr>
              <w:t>Revenue</w:t>
            </w:r>
          </w:p>
        </w:tc>
        <w:tc>
          <w:tcPr>
            <w:tcW w:type="dxa" w:w="1881"/>
          </w:tcPr>
          <w:p>
            <w:pPr>
              <w:jc w:val="center"/>
            </w:pPr>
            <w:r>
              <w:rPr>
                <w:rFonts w:ascii="Times New Roman" w:hAnsi="Times New Roman"/>
                <w:sz w:val="20"/>
              </w:rPr>
              <w:t>$20,382M</w:t>
            </w:r>
          </w:p>
        </w:tc>
        <w:tc>
          <w:tcPr>
            <w:tcW w:type="dxa" w:w="1881"/>
          </w:tcPr>
          <w:p>
            <w:pPr>
              <w:jc w:val="center"/>
            </w:pPr>
            <w:r>
              <w:rPr>
                <w:rFonts w:ascii="Times New Roman" w:hAnsi="Times New Roman"/>
                <w:sz w:val="20"/>
              </w:rPr>
              <w:t>$21,500M</w:t>
            </w:r>
          </w:p>
        </w:tc>
        <w:tc>
          <w:tcPr>
            <w:tcW w:type="dxa" w:w="1881"/>
          </w:tcPr>
          <w:p>
            <w:pPr>
              <w:jc w:val="center"/>
            </w:pPr>
            <w:r>
              <w:rPr>
                <w:rFonts w:ascii="Times New Roman" w:hAnsi="Times New Roman"/>
                <w:sz w:val="20"/>
              </w:rPr>
              <w:t>$21,940M</w:t>
            </w:r>
          </w:p>
        </w:tc>
        <w:tc>
          <w:tcPr>
            <w:tcW w:type="dxa" w:w="1881"/>
          </w:tcPr>
          <w:p>
            <w:pPr>
              <w:jc w:val="center"/>
            </w:pPr>
            <w:r>
              <w:rPr>
                <w:rFonts w:ascii="Times New Roman" w:hAnsi="Times New Roman"/>
                <w:sz w:val="20"/>
              </w:rPr>
              <w:t>$22,660M</w:t>
            </w:r>
          </w:p>
        </w:tc>
      </w:tr>
      <w:tr>
        <w:tc>
          <w:tcPr>
            <w:tcW w:type="dxa" w:w="1881"/>
          </w:tcPr>
          <w:p>
            <w:pPr>
              <w:jc w:val="left"/>
            </w:pPr>
            <w:r>
              <w:rPr>
                <w:rFonts w:ascii="Times New Roman" w:hAnsi="Times New Roman"/>
                <w:sz w:val="20"/>
              </w:rPr>
              <w:t>Revenue Growth</w:t>
            </w:r>
          </w:p>
        </w:tc>
        <w:tc>
          <w:tcPr>
            <w:tcW w:type="dxa" w:w="1881"/>
          </w:tcPr>
          <w:p>
            <w:pPr>
              <w:jc w:val="center"/>
            </w:pPr>
            <w:r>
              <w:rPr>
                <w:rFonts w:ascii="Times New Roman" w:hAnsi="Times New Roman"/>
                <w:sz w:val="20"/>
              </w:rPr>
              <w:t>+1.4%</w:t>
            </w:r>
          </w:p>
        </w:tc>
        <w:tc>
          <w:tcPr>
            <w:tcW w:type="dxa" w:w="1881"/>
          </w:tcPr>
          <w:p>
            <w:pPr>
              <w:jc w:val="center"/>
            </w:pPr>
            <w:r>
              <w:rPr>
                <w:rFonts w:ascii="Times New Roman" w:hAnsi="Times New Roman"/>
                <w:sz w:val="20"/>
              </w:rPr>
              <w:t>+5.5%</w:t>
            </w:r>
          </w:p>
        </w:tc>
        <w:tc>
          <w:tcPr>
            <w:tcW w:type="dxa" w:w="1881"/>
          </w:tcPr>
          <w:p>
            <w:pPr>
              <w:jc w:val="center"/>
            </w:pPr>
            <w:r>
              <w:rPr>
                <w:rFonts w:ascii="Times New Roman" w:hAnsi="Times New Roman"/>
                <w:sz w:val="20"/>
              </w:rPr>
              <w:t>+7.6%</w:t>
            </w:r>
          </w:p>
        </w:tc>
        <w:tc>
          <w:tcPr>
            <w:tcW w:type="dxa" w:w="1881"/>
          </w:tcPr>
          <w:p>
            <w:pPr>
              <w:jc w:val="center"/>
            </w:pPr>
            <w:r>
              <w:rPr>
                <w:rFonts w:ascii="Times New Roman" w:hAnsi="Times New Roman"/>
                <w:sz w:val="20"/>
              </w:rPr>
              <w:t>+3.3%</w:t>
            </w:r>
          </w:p>
        </w:tc>
      </w:tr>
      <w:tr>
        <w:tc>
          <w:tcPr>
            <w:tcW w:type="dxa" w:w="1881"/>
          </w:tcPr>
          <w:p>
            <w:pPr>
              <w:jc w:val="left"/>
            </w:pPr>
            <w:r>
              <w:rPr>
                <w:rFonts w:ascii="Times New Roman" w:hAnsi="Times New Roman"/>
                <w:sz w:val="20"/>
              </w:rPr>
              <w:t>Base Business EPS</w:t>
            </w:r>
          </w:p>
        </w:tc>
        <w:tc>
          <w:tcPr>
            <w:tcW w:type="dxa" w:w="1881"/>
          </w:tcPr>
          <w:p>
            <w:pPr>
              <w:jc w:val="center"/>
            </w:pPr>
            <w:r>
              <w:rPr>
                <w:rFonts w:ascii="Times New Roman" w:hAnsi="Times New Roman"/>
                <w:sz w:val="20"/>
              </w:rPr>
              <w:t>$3.69</w:t>
            </w:r>
          </w:p>
        </w:tc>
        <w:tc>
          <w:tcPr>
            <w:tcW w:type="dxa" w:w="1881"/>
          </w:tcPr>
          <w:p>
            <w:pPr>
              <w:jc w:val="center"/>
            </w:pPr>
            <w:r>
              <w:rPr>
                <w:rFonts w:ascii="Times New Roman" w:hAnsi="Times New Roman"/>
                <w:sz w:val="20"/>
              </w:rPr>
              <w:t>$3.90</w:t>
            </w:r>
          </w:p>
        </w:tc>
        <w:tc>
          <w:tcPr>
            <w:tcW w:type="dxa" w:w="1881"/>
          </w:tcPr>
          <w:p>
            <w:pPr>
              <w:jc w:val="center"/>
            </w:pPr>
            <w:r>
              <w:rPr>
                <w:rFonts w:ascii="Times New Roman" w:hAnsi="Times New Roman"/>
                <w:sz w:val="20"/>
              </w:rPr>
              <w:t>$3.99</w:t>
            </w:r>
          </w:p>
        </w:tc>
        <w:tc>
          <w:tcPr>
            <w:tcW w:type="dxa" w:w="1881"/>
          </w:tcPr>
          <w:p>
            <w:pPr>
              <w:jc w:val="center"/>
            </w:pPr>
            <w:r>
              <w:rPr>
                <w:rFonts w:ascii="Times New Roman" w:hAnsi="Times New Roman"/>
                <w:sz w:val="20"/>
              </w:rPr>
              <w:t>$4.26</w:t>
            </w:r>
          </w:p>
        </w:tc>
      </w:tr>
      <w:tr>
        <w:tc>
          <w:tcPr>
            <w:tcW w:type="dxa" w:w="1881"/>
          </w:tcPr>
          <w:p>
            <w:pPr>
              <w:jc w:val="left"/>
            </w:pPr>
            <w:r>
              <w:rPr>
                <w:rFonts w:ascii="Times New Roman" w:hAnsi="Times New Roman"/>
                <w:sz w:val="20"/>
              </w:rPr>
              <w:t>EPS Growth (Base)</w:t>
            </w:r>
          </w:p>
        </w:tc>
        <w:tc>
          <w:tcPr>
            <w:tcW w:type="dxa" w:w="1881"/>
          </w:tcPr>
          <w:p>
            <w:pPr>
              <w:jc w:val="center"/>
            </w:pPr>
            <w:r>
              <w:rPr>
                <w:rFonts w:ascii="Times New Roman" w:hAnsi="Times New Roman"/>
                <w:sz w:val="20"/>
              </w:rPr>
              <w:t>+2.5%</w:t>
            </w:r>
          </w:p>
        </w:tc>
        <w:tc>
          <w:tcPr>
            <w:tcW w:type="dxa" w:w="1881"/>
          </w:tcPr>
          <w:p>
            <w:pPr>
              <w:jc w:val="center"/>
            </w:pPr>
            <w:r>
              <w:rPr>
                <w:rFonts w:ascii="Times New Roman" w:hAnsi="Times New Roman"/>
                <w:sz w:val="20"/>
              </w:rPr>
              <w:t>+5.7%</w:t>
            </w:r>
          </w:p>
        </w:tc>
        <w:tc>
          <w:tcPr>
            <w:tcW w:type="dxa" w:w="1881"/>
          </w:tcPr>
          <w:p>
            <w:pPr>
              <w:jc w:val="center"/>
            </w:pPr>
            <w:r>
              <w:rPr>
                <w:rFonts w:ascii="Times New Roman" w:hAnsi="Times New Roman"/>
                <w:sz w:val="20"/>
              </w:rPr>
              <w:t>+8.1%</w:t>
            </w:r>
          </w:p>
        </w:tc>
        <w:tc>
          <w:tcPr>
            <w:tcW w:type="dxa" w:w="1881"/>
          </w:tcPr>
          <w:p>
            <w:pPr>
              <w:jc w:val="center"/>
            </w:pPr>
            <w:r>
              <w:rPr>
                <w:rFonts w:ascii="Times New Roman" w:hAnsi="Times New Roman"/>
                <w:sz w:val="20"/>
              </w:rPr>
              <w:t>+6.8%</w:t>
            </w:r>
          </w:p>
        </w:tc>
      </w:tr>
      <w:tr>
        <w:tc>
          <w:tcPr>
            <w:tcW w:type="dxa" w:w="1881"/>
          </w:tcPr>
          <w:p>
            <w:pPr>
              <w:jc w:val="left"/>
            </w:pPr>
            <w:r>
              <w:rPr>
                <w:rFonts w:ascii="Times New Roman" w:hAnsi="Times New Roman"/>
                <w:sz w:val="20"/>
              </w:rPr>
              <w:t>Gross Margin</w:t>
            </w:r>
          </w:p>
        </w:tc>
        <w:tc>
          <w:tcPr>
            <w:tcW w:type="dxa" w:w="1881"/>
          </w:tcPr>
          <w:p>
            <w:pPr>
              <w:jc w:val="center"/>
            </w:pPr>
            <w:r>
              <w:rPr>
                <w:rFonts w:ascii="Times New Roman" w:hAnsi="Times New Roman"/>
                <w:sz w:val="20"/>
              </w:rPr>
              <w:t>60.1%</w:t>
            </w:r>
          </w:p>
        </w:tc>
        <w:tc>
          <w:tcPr>
            <w:tcW w:type="dxa" w:w="1881"/>
          </w:tcPr>
          <w:p>
            <w:pPr>
              <w:jc w:val="center"/>
            </w:pPr>
            <w:r>
              <w:rPr>
                <w:rFonts w:ascii="Times New Roman" w:hAnsi="Times New Roman"/>
                <w:sz w:val="20"/>
              </w:rPr>
              <w:t>60.5%</w:t>
            </w:r>
          </w:p>
        </w:tc>
        <w:tc>
          <w:tcPr>
            <w:tcW w:type="dxa" w:w="1881"/>
          </w:tcPr>
          <w:p>
            <w:pPr>
              <w:jc w:val="center"/>
            </w:pPr>
            <w:r>
              <w:rPr>
                <w:rFonts w:ascii="Times New Roman" w:hAnsi="Times New Roman"/>
                <w:sz w:val="20"/>
              </w:rPr>
              <w:t>60.8%</w:t>
            </w:r>
          </w:p>
        </w:tc>
        <w:tc>
          <w:tcPr>
            <w:tcW w:type="dxa" w:w="1881"/>
          </w:tcPr>
          <w:p>
            <w:pPr>
              <w:jc w:val="center"/>
            </w:pPr>
            <w:r>
              <w:rPr>
                <w:rFonts w:ascii="Times New Roman" w:hAnsi="Times New Roman"/>
                <w:sz w:val="20"/>
              </w:rPr>
              <w:t>61.2%</w:t>
            </w:r>
          </w:p>
        </w:tc>
      </w:tr>
    </w:tbl>
    <w:p>
      <w:pPr>
        <w:spacing w:after="240"/>
      </w:pPr>
      <w:r>
        <w:rPr>
          <w:rFonts w:ascii="Times New Roman" w:hAnsi="Times New Roman"/>
          <w:b w:val="0"/>
          <w:i/>
          <w:color w:val="777777"/>
          <w:sz w:val="16"/>
        </w:rPr>
        <w:t>Source: FY2025 actual from Colgate-Palmolive earnings release; consensus from StockAnalysis.com. A = Actual, E = Estimate.</w:t>
      </w:r>
    </w:p>
    <w:p>
      <w:r>
        <w:br w:type="page"/>
      </w:r>
    </w:p>
    <w:p>
      <w:pPr>
        <w:pStyle w:val="Heading1"/>
      </w:pPr>
      <w:r>
        <w:rPr>
          <w:rFonts w:ascii="Times New Roman" w:hAnsi="Times New Roman"/>
          <w:color w:val="17365D"/>
        </w:rPr>
        <w:t>Detailed Results Analysis</w:t>
      </w:r>
    </w:p>
    <w:p>
      <w:pPr>
        <w:pStyle w:val="Heading2"/>
      </w:pPr>
      <w:r>
        <w:rPr>
          <w:rFonts w:ascii="Times New Roman" w:hAnsi="Times New Roman"/>
          <w:color w:val="17365D"/>
        </w:rPr>
        <w:t>Revenue Analysis</w:t>
      </w:r>
    </w:p>
    <w:p>
      <w:pPr>
        <w:spacing w:after="120"/>
      </w:pPr>
      <w:r>
        <w:rPr>
          <w:rFonts w:ascii="Times New Roman" w:hAnsi="Times New Roman"/>
          <w:b w:val="0"/>
          <w:i w:val="0"/>
          <w:color w:val="000000"/>
          <w:sz w:val="22"/>
        </w:rPr>
        <w:t>Colgate-Palmolive reported Q4 2025 net sales of $5,230 million, up +5.8% year-over-year and beating consensus by $110 million (+2.1%). Organic sales grew +2.2%, a meaningful acceleration from Q3's +0.4%, though decelerating from Q4 2024's +4.3% in a softer category environment. FX provided a +3.1% tailwind, the first positive currency quarter in several years.</w:t>
      </w:r>
    </w:p>
    <w:p>
      <w:pPr>
        <w:spacing w:after="120"/>
      </w:pPr>
      <w:r>
        <w:rPr>
          <w:rFonts w:ascii="Times New Roman" w:hAnsi="Times New Roman"/>
          <w:b w:val="0"/>
          <w:i w:val="0"/>
          <w:color w:val="000000"/>
          <w:sz w:val="22"/>
        </w:rPr>
        <w:t>Full-year 2025 net sales reached a record $20,382 million (+1.4%), with organic growth of +1.4%. Excluding the strategic exit from private label pet food manufacturing, underlying organic growth was approximately +2.1% for the year and ~3.1% in Q4.</w:t>
      </w:r>
    </w:p>
    <w:p>
      <w:pPr>
        <w:jc w:val="center"/>
      </w:pPr>
      <w:r>
        <w:drawing>
          <wp:inline xmlns:a="http://schemas.openxmlformats.org/drawingml/2006/main" xmlns:pic="http://schemas.openxmlformats.org/drawingml/2006/picture">
            <wp:extent cx="5029200" cy="3472788"/>
            <wp:docPr id="1" name="Picture 1"/>
            <wp:cNvGraphicFramePr>
              <a:graphicFrameLocks noChangeAspect="1"/>
            </wp:cNvGraphicFramePr>
            <a:graphic>
              <a:graphicData uri="http://schemas.openxmlformats.org/drawingml/2006/picture">
                <pic:pic>
                  <pic:nvPicPr>
                    <pic:cNvPr id="0" name="chart1_revenue.png"/>
                    <pic:cNvPicPr/>
                  </pic:nvPicPr>
                  <pic:blipFill>
                    <a:blip r:embed="rId9"/>
                    <a:stretch>
                      <a:fillRect/>
                    </a:stretch>
                  </pic:blipFill>
                  <pic:spPr>
                    <a:xfrm>
                      <a:off x="0" y="0"/>
                      <a:ext cx="5029200" cy="3472788"/>
                    </a:xfrm>
                    <a:prstGeom prst="rect"/>
                  </pic:spPr>
                </pic:pic>
              </a:graphicData>
            </a:graphic>
          </wp:inline>
        </w:drawing>
      </w:r>
    </w:p>
    <w:p>
      <w:pPr>
        <w:spacing w:after="240"/>
        <w:jc w:val="center"/>
      </w:pPr>
      <w:r>
        <w:rPr>
          <w:rFonts w:ascii="Times New Roman" w:hAnsi="Times New Roman"/>
          <w:b w:val="0"/>
          <w:i/>
          <w:color w:val="777777"/>
          <w:sz w:val="18"/>
        </w:rPr>
        <w:t>Figure 1: Quarterly Net Sales — Q4 Acceleration on FX Tailwind and Organic Improvement</w:t>
      </w:r>
    </w:p>
    <w:p>
      <w:pPr>
        <w:pStyle w:val="Heading2"/>
      </w:pPr>
      <w:r>
        <w:rPr>
          <w:rFonts w:ascii="Times New Roman" w:hAnsi="Times New Roman"/>
          <w:color w:val="17365D"/>
        </w:rPr>
        <w:t>Geographic Performance</w:t>
      </w:r>
    </w:p>
    <w:p>
      <w:pPr>
        <w:spacing w:after="120"/>
      </w:pPr>
      <w:r>
        <w:rPr>
          <w:rFonts w:ascii="Times New Roman" w:hAnsi="Times New Roman"/>
          <w:b w:val="0"/>
          <w:i w:val="0"/>
          <w:color w:val="000000"/>
          <w:sz w:val="22"/>
        </w:rPr>
        <w:t>Emerging markets were the clear growth engine in Q4. Africa/Eurasia delivered +10.3% organic growth (+9.1% pricing, +1.1% volume), reflecting strong pricing power in high-inflation markets. Latin America grew +6.5% organic (+4.2% pricing, +2.3% volume) with Mexico and Brazil as standouts. Europe posted +1.8% organic on modest volume and pricing gains.</w:t>
      </w:r>
    </w:p>
    <w:p>
      <w:pPr>
        <w:spacing w:after="120"/>
      </w:pPr>
      <w:r>
        <w:rPr>
          <w:rFonts w:ascii="Times New Roman" w:hAnsi="Times New Roman"/>
          <w:b w:val="0"/>
          <w:i w:val="0"/>
          <w:color w:val="000000"/>
          <w:sz w:val="22"/>
        </w:rPr>
        <w:t>North America remained the soft spot at -1.8% organic, with negative volumes across 9-10 categories. Management cited soft category trends rather than share loss, noting Colgate's global toothpaste share held at 41.3%. Asia Pacific was flat at +0.1% organic, with pricing offsetting volume declines.</w:t>
      </w:r>
    </w:p>
    <w:p>
      <w:pPr>
        <w:jc w:val="center"/>
      </w:pPr>
      <w:r>
        <w:drawing>
          <wp:inline xmlns:a="http://schemas.openxmlformats.org/drawingml/2006/main" xmlns:pic="http://schemas.openxmlformats.org/drawingml/2006/picture">
            <wp:extent cx="5029200" cy="3178153"/>
            <wp:docPr id="2" name="Picture 2"/>
            <wp:cNvGraphicFramePr>
              <a:graphicFrameLocks noChangeAspect="1"/>
            </wp:cNvGraphicFramePr>
            <a:graphic>
              <a:graphicData uri="http://schemas.openxmlformats.org/drawingml/2006/picture">
                <pic:pic>
                  <pic:nvPicPr>
                    <pic:cNvPr id="0" name="chart4_organic_by_region.png"/>
                    <pic:cNvPicPr/>
                  </pic:nvPicPr>
                  <pic:blipFill>
                    <a:blip r:embed="rId10"/>
                    <a:stretch>
                      <a:fillRect/>
                    </a:stretch>
                  </pic:blipFill>
                  <pic:spPr>
                    <a:xfrm>
                      <a:off x="0" y="0"/>
                      <a:ext cx="5029200" cy="3178153"/>
                    </a:xfrm>
                    <a:prstGeom prst="rect"/>
                  </pic:spPr>
                </pic:pic>
              </a:graphicData>
            </a:graphic>
          </wp:inline>
        </w:drawing>
      </w:r>
    </w:p>
    <w:p>
      <w:pPr>
        <w:spacing w:after="240"/>
        <w:jc w:val="center"/>
      </w:pPr>
      <w:r>
        <w:rPr>
          <w:rFonts w:ascii="Times New Roman" w:hAnsi="Times New Roman"/>
          <w:b w:val="0"/>
          <w:i/>
          <w:color w:val="777777"/>
          <w:sz w:val="18"/>
        </w:rPr>
        <w:t>Figure 2: Q4 2025 Organic Sales Growth by Region — Emerging Markets Lead</w:t>
      </w:r>
    </w:p>
    <w:p>
      <w:pPr>
        <w:jc w:val="center"/>
      </w:pPr>
      <w:r>
        <w:drawing>
          <wp:inline xmlns:a="http://schemas.openxmlformats.org/drawingml/2006/main" xmlns:pic="http://schemas.openxmlformats.org/drawingml/2006/picture">
            <wp:extent cx="5029200" cy="3314626"/>
            <wp:docPr id="3" name="Picture 3"/>
            <wp:cNvGraphicFramePr>
              <a:graphicFrameLocks noChangeAspect="1"/>
            </wp:cNvGraphicFramePr>
            <a:graphic>
              <a:graphicData uri="http://schemas.openxmlformats.org/drawingml/2006/picture">
                <pic:pic>
                  <pic:nvPicPr>
                    <pic:cNvPr id="0" name="chart5_volume_pricing.png"/>
                    <pic:cNvPicPr/>
                  </pic:nvPicPr>
                  <pic:blipFill>
                    <a:blip r:embed="rId11"/>
                    <a:stretch>
                      <a:fillRect/>
                    </a:stretch>
                  </pic:blipFill>
                  <pic:spPr>
                    <a:xfrm>
                      <a:off x="0" y="0"/>
                      <a:ext cx="5029200" cy="3314626"/>
                    </a:xfrm>
                    <a:prstGeom prst="rect"/>
                  </pic:spPr>
                </pic:pic>
              </a:graphicData>
            </a:graphic>
          </wp:inline>
        </w:drawing>
      </w:r>
    </w:p>
    <w:p>
      <w:pPr>
        <w:spacing w:after="240"/>
        <w:jc w:val="center"/>
      </w:pPr>
      <w:r>
        <w:rPr>
          <w:rFonts w:ascii="Times New Roman" w:hAnsi="Times New Roman"/>
          <w:b w:val="0"/>
          <w:i/>
          <w:color w:val="777777"/>
          <w:sz w:val="18"/>
        </w:rPr>
        <w:t>Figure 3: Volume vs. Pricing Decomposition — Pricing Dominates in EM, Volume Weak in DM</w:t>
      </w:r>
    </w:p>
    <w:p>
      <w:pPr>
        <w:pStyle w:val="Heading2"/>
      </w:pPr>
      <w:r>
        <w:rPr>
          <w:rFonts w:ascii="Times New Roman" w:hAnsi="Times New Roman"/>
          <w:color w:val="17365D"/>
        </w:rPr>
        <w:t>Profitability Analysis</w:t>
      </w:r>
    </w:p>
    <w:p>
      <w:pPr>
        <w:spacing w:after="120"/>
      </w:pPr>
      <w:r>
        <w:rPr>
          <w:rFonts w:ascii="Times New Roman" w:hAnsi="Times New Roman"/>
          <w:b w:val="0"/>
          <w:i w:val="0"/>
          <w:color w:val="000000"/>
          <w:sz w:val="22"/>
        </w:rPr>
        <w:t>Q4 2025 gross margin of 60.2% was essentially flat versus Q4 2024's 60.3% (-10 bps), but improved +80 bps sequentially from Q3's 59.4%. Management highlighted that raw material inflation and tariffs were headwinds, offset by Revenue Growth Management (pricing, promotion, and mix optimization) and productivity savings.</w:t>
      </w:r>
    </w:p>
    <w:p>
      <w:pPr>
        <w:spacing w:after="120"/>
      </w:pPr>
      <w:r>
        <w:rPr>
          <w:rFonts w:ascii="Times New Roman" w:hAnsi="Times New Roman"/>
          <w:b w:val="0"/>
          <w:i w:val="0"/>
          <w:color w:val="000000"/>
          <w:sz w:val="22"/>
        </w:rPr>
        <w:t>Base Business operating margin of 21.2% compressed -50 bps YoY from 21.7%, driven by increased advertising investment (+5% in Q4 on a dollar basis). This is a deliberate choice — management is investing behind the innovation pipeline for 2026. GAAP operating margin was distorted by the $794M Filorga impairment.</w:t>
      </w:r>
    </w:p>
    <w:p>
      <w:pPr>
        <w:spacing w:after="120"/>
      </w:pPr>
      <w:r>
        <w:rPr>
          <w:rFonts w:ascii="Times New Roman" w:hAnsi="Times New Roman"/>
          <w:b w:val="0"/>
          <w:i w:val="0"/>
          <w:color w:val="000000"/>
          <w:sz w:val="22"/>
        </w:rPr>
        <w:t>Base Business EPS of $0.95 grew +4.4% YoY from $0.91, beating consensus by $0.04. Full-year Base Business EPS of $3.69 grew +2.5% from $3.60, reflecting margin discipline and share buybacks partially offset by currency headwinds.</w:t>
      </w:r>
    </w:p>
    <w:p>
      <w:pPr>
        <w:jc w:val="center"/>
      </w:pPr>
      <w:r>
        <w:drawing>
          <wp:inline xmlns:a="http://schemas.openxmlformats.org/drawingml/2006/main" xmlns:pic="http://schemas.openxmlformats.org/drawingml/2006/picture">
            <wp:extent cx="5029200" cy="3631204"/>
            <wp:docPr id="4" name="Picture 4"/>
            <wp:cNvGraphicFramePr>
              <a:graphicFrameLocks noChangeAspect="1"/>
            </wp:cNvGraphicFramePr>
            <a:graphic>
              <a:graphicData uri="http://schemas.openxmlformats.org/drawingml/2006/picture">
                <pic:pic>
                  <pic:nvPicPr>
                    <pic:cNvPr id="0" name="chart3_eps.png"/>
                    <pic:cNvPicPr/>
                  </pic:nvPicPr>
                  <pic:blipFill>
                    <a:blip r:embed="rId12"/>
                    <a:stretch>
                      <a:fillRect/>
                    </a:stretch>
                  </pic:blipFill>
                  <pic:spPr>
                    <a:xfrm>
                      <a:off x="0" y="0"/>
                      <a:ext cx="5029200" cy="3631204"/>
                    </a:xfrm>
                    <a:prstGeom prst="rect"/>
                  </pic:spPr>
                </pic:pic>
              </a:graphicData>
            </a:graphic>
          </wp:inline>
        </w:drawing>
      </w:r>
    </w:p>
    <w:p>
      <w:pPr>
        <w:spacing w:after="240"/>
        <w:jc w:val="center"/>
      </w:pPr>
      <w:r>
        <w:rPr>
          <w:rFonts w:ascii="Times New Roman" w:hAnsi="Times New Roman"/>
          <w:b w:val="0"/>
          <w:i/>
          <w:color w:val="777777"/>
          <w:sz w:val="18"/>
        </w:rPr>
        <w:t>Figure 4: Base Business EPS — Steady Growth, Q4 Beat</w:t>
      </w:r>
    </w:p>
    <w:p>
      <w:pPr>
        <w:jc w:val="center"/>
      </w:pPr>
      <w:r>
        <w:drawing>
          <wp:inline xmlns:a="http://schemas.openxmlformats.org/drawingml/2006/main" xmlns:pic="http://schemas.openxmlformats.org/drawingml/2006/picture">
            <wp:extent cx="5029200" cy="3214246"/>
            <wp:docPr id="5" name="Picture 5"/>
            <wp:cNvGraphicFramePr>
              <a:graphicFrameLocks noChangeAspect="1"/>
            </wp:cNvGraphicFramePr>
            <a:graphic>
              <a:graphicData uri="http://schemas.openxmlformats.org/drawingml/2006/picture">
                <pic:pic>
                  <pic:nvPicPr>
                    <pic:cNvPr id="0" name="chart6_gross_margin.png"/>
                    <pic:cNvPicPr/>
                  </pic:nvPicPr>
                  <pic:blipFill>
                    <a:blip r:embed="rId13"/>
                    <a:stretch>
                      <a:fillRect/>
                    </a:stretch>
                  </pic:blipFill>
                  <pic:spPr>
                    <a:xfrm>
                      <a:off x="0" y="0"/>
                      <a:ext cx="5029200" cy="3214246"/>
                    </a:xfrm>
                    <a:prstGeom prst="rect"/>
                  </pic:spPr>
                </pic:pic>
              </a:graphicData>
            </a:graphic>
          </wp:inline>
        </w:drawing>
      </w:r>
    </w:p>
    <w:p>
      <w:pPr>
        <w:spacing w:after="240"/>
        <w:jc w:val="center"/>
      </w:pPr>
      <w:r>
        <w:rPr>
          <w:rFonts w:ascii="Times New Roman" w:hAnsi="Times New Roman"/>
          <w:b w:val="0"/>
          <w:i/>
          <w:color w:val="777777"/>
          <w:sz w:val="18"/>
        </w:rPr>
        <w:t>Figure 5: Gross Margin Trend — Hovering Near 60%, Sequential Recovery in Q4</w:t>
      </w:r>
    </w:p>
    <w:p>
      <w:r>
        <w:br w:type="page"/>
      </w:r>
    </w:p>
    <w:p>
      <w:pPr>
        <w:pStyle w:val="Heading1"/>
      </w:pPr>
      <w:r>
        <w:rPr>
          <w:rFonts w:ascii="Times New Roman" w:hAnsi="Times New Roman"/>
          <w:color w:val="17365D"/>
        </w:rPr>
        <w:t>Key Metrics &amp; Guidance</w:t>
      </w:r>
    </w:p>
    <w:p>
      <w:pPr>
        <w:pStyle w:val="Heading2"/>
      </w:pPr>
      <w:r>
        <w:rPr>
          <w:rFonts w:ascii="Times New Roman" w:hAnsi="Times New Roman"/>
          <w:color w:val="17365D"/>
        </w:rPr>
        <w:t>Operating Highlights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Metric</w:t>
            </w:r>
          </w:p>
        </w:tc>
        <w:tc>
          <w:tcPr>
            <w:tcW w:type="dxa" w:w="1881"/>
          </w:tcPr>
          <w:p>
            <w:pPr>
              <w:jc w:val="center"/>
            </w:pPr>
            <w:r>
              <w:rPr>
                <w:rFonts w:ascii="Times New Roman" w:hAnsi="Times New Roman"/>
                <w:b/>
                <w:sz w:val="20"/>
              </w:rPr>
              <w:t>Q4 2025</w:t>
            </w:r>
          </w:p>
        </w:tc>
        <w:tc>
          <w:tcPr>
            <w:tcW w:type="dxa" w:w="1881"/>
          </w:tcPr>
          <w:p>
            <w:pPr>
              <w:jc w:val="center"/>
            </w:pPr>
            <w:r>
              <w:rPr>
                <w:rFonts w:ascii="Times New Roman" w:hAnsi="Times New Roman"/>
                <w:b/>
                <w:sz w:val="20"/>
              </w:rPr>
              <w:t>FY2025</w:t>
            </w:r>
          </w:p>
        </w:tc>
        <w:tc>
          <w:tcPr>
            <w:tcW w:type="dxa" w:w="1881"/>
          </w:tcPr>
          <w:p>
            <w:pPr>
              <w:jc w:val="center"/>
            </w:pPr>
            <w:r>
              <w:rPr>
                <w:rFonts w:ascii="Times New Roman" w:hAnsi="Times New Roman"/>
                <w:b/>
                <w:sz w:val="20"/>
              </w:rPr>
              <w:t>FY2024</w:t>
            </w:r>
          </w:p>
        </w:tc>
        <w:tc>
          <w:tcPr>
            <w:tcW w:type="dxa" w:w="1881"/>
          </w:tcPr>
          <w:p>
            <w:pPr>
              <w:jc w:val="center"/>
            </w:pPr>
            <w:r>
              <w:rPr>
                <w:rFonts w:ascii="Times New Roman" w:hAnsi="Times New Roman"/>
                <w:b/>
                <w:sz w:val="20"/>
              </w:rPr>
              <w:t>YoY Change</w:t>
            </w:r>
          </w:p>
        </w:tc>
      </w:tr>
      <w:tr>
        <w:tc>
          <w:tcPr>
            <w:tcW w:type="dxa" w:w="1881"/>
          </w:tcPr>
          <w:p>
            <w:pPr>
              <w:jc w:val="left"/>
            </w:pPr>
            <w:r>
              <w:rPr>
                <w:rFonts w:ascii="Times New Roman" w:hAnsi="Times New Roman"/>
                <w:sz w:val="20"/>
              </w:rPr>
              <w:t>Net Sales</w:t>
            </w:r>
          </w:p>
        </w:tc>
        <w:tc>
          <w:tcPr>
            <w:tcW w:type="dxa" w:w="1881"/>
          </w:tcPr>
          <w:p>
            <w:pPr>
              <w:jc w:val="center"/>
            </w:pPr>
            <w:r>
              <w:rPr>
                <w:rFonts w:ascii="Times New Roman" w:hAnsi="Times New Roman"/>
                <w:sz w:val="20"/>
              </w:rPr>
              <w:t>$5,230M</w:t>
            </w:r>
          </w:p>
        </w:tc>
        <w:tc>
          <w:tcPr>
            <w:tcW w:type="dxa" w:w="1881"/>
          </w:tcPr>
          <w:p>
            <w:pPr>
              <w:jc w:val="center"/>
            </w:pPr>
            <w:r>
              <w:rPr>
                <w:rFonts w:ascii="Times New Roman" w:hAnsi="Times New Roman"/>
                <w:sz w:val="20"/>
              </w:rPr>
              <w:t>$20,382M</w:t>
            </w:r>
          </w:p>
        </w:tc>
        <w:tc>
          <w:tcPr>
            <w:tcW w:type="dxa" w:w="1881"/>
          </w:tcPr>
          <w:p>
            <w:pPr>
              <w:jc w:val="center"/>
            </w:pPr>
            <w:r>
              <w:rPr>
                <w:rFonts w:ascii="Times New Roman" w:hAnsi="Times New Roman"/>
                <w:sz w:val="20"/>
              </w:rPr>
              <w:t>$20,101M</w:t>
            </w:r>
          </w:p>
        </w:tc>
        <w:tc>
          <w:tcPr>
            <w:tcW w:type="dxa" w:w="1881"/>
          </w:tcPr>
          <w:p>
            <w:pPr>
              <w:jc w:val="center"/>
            </w:pPr>
            <w:r>
              <w:rPr>
                <w:rFonts w:ascii="Times New Roman" w:hAnsi="Times New Roman"/>
                <w:sz w:val="20"/>
              </w:rPr>
              <w:t>+1.4%</w:t>
            </w:r>
          </w:p>
        </w:tc>
      </w:tr>
      <w:tr>
        <w:tc>
          <w:tcPr>
            <w:tcW w:type="dxa" w:w="1881"/>
          </w:tcPr>
          <w:p>
            <w:pPr>
              <w:jc w:val="left"/>
            </w:pPr>
            <w:r>
              <w:rPr>
                <w:rFonts w:ascii="Times New Roman" w:hAnsi="Times New Roman"/>
                <w:sz w:val="20"/>
              </w:rPr>
              <w:t>Organic Growth</w:t>
            </w:r>
          </w:p>
        </w:tc>
        <w:tc>
          <w:tcPr>
            <w:tcW w:type="dxa" w:w="1881"/>
          </w:tcPr>
          <w:p>
            <w:pPr>
              <w:jc w:val="center"/>
            </w:pPr>
            <w:r>
              <w:rPr>
                <w:rFonts w:ascii="Times New Roman" w:hAnsi="Times New Roman"/>
                <w:sz w:val="20"/>
              </w:rPr>
              <w:t>+2.2%</w:t>
            </w:r>
          </w:p>
        </w:tc>
        <w:tc>
          <w:tcPr>
            <w:tcW w:type="dxa" w:w="1881"/>
          </w:tcPr>
          <w:p>
            <w:pPr>
              <w:jc w:val="center"/>
            </w:pPr>
            <w:r>
              <w:rPr>
                <w:rFonts w:ascii="Times New Roman" w:hAnsi="Times New Roman"/>
                <w:sz w:val="20"/>
              </w:rPr>
              <w:t>+1.4%</w:t>
            </w:r>
          </w:p>
        </w:tc>
        <w:tc>
          <w:tcPr>
            <w:tcW w:type="dxa" w:w="1881"/>
          </w:tcPr>
          <w:p>
            <w:pPr>
              <w:jc w:val="center"/>
            </w:pPr>
            <w:r>
              <w:rPr>
                <w:rFonts w:ascii="Times New Roman" w:hAnsi="Times New Roman"/>
                <w:sz w:val="20"/>
              </w:rPr>
              <w:t>+4.3%</w:t>
            </w:r>
          </w:p>
        </w:tc>
        <w:tc>
          <w:tcPr>
            <w:tcW w:type="dxa" w:w="1881"/>
          </w:tcPr>
          <w:p>
            <w:pPr>
              <w:jc w:val="center"/>
            </w:pPr>
            <w:r>
              <w:rPr>
                <w:rFonts w:ascii="Times New Roman" w:hAnsi="Times New Roman"/>
                <w:sz w:val="20"/>
              </w:rPr>
              <w:t>Decelerated</w:t>
            </w:r>
          </w:p>
        </w:tc>
      </w:tr>
      <w:tr>
        <w:tc>
          <w:tcPr>
            <w:tcW w:type="dxa" w:w="1881"/>
          </w:tcPr>
          <w:p>
            <w:pPr>
              <w:jc w:val="left"/>
            </w:pPr>
            <w:r>
              <w:rPr>
                <w:rFonts w:ascii="Times New Roman" w:hAnsi="Times New Roman"/>
                <w:sz w:val="20"/>
              </w:rPr>
              <w:t>Gross Margin</w:t>
            </w:r>
          </w:p>
        </w:tc>
        <w:tc>
          <w:tcPr>
            <w:tcW w:type="dxa" w:w="1881"/>
          </w:tcPr>
          <w:p>
            <w:pPr>
              <w:jc w:val="center"/>
            </w:pPr>
            <w:r>
              <w:rPr>
                <w:rFonts w:ascii="Times New Roman" w:hAnsi="Times New Roman"/>
                <w:sz w:val="20"/>
              </w:rPr>
              <w:t>60.2%</w:t>
            </w:r>
          </w:p>
        </w:tc>
        <w:tc>
          <w:tcPr>
            <w:tcW w:type="dxa" w:w="1881"/>
          </w:tcPr>
          <w:p>
            <w:pPr>
              <w:jc w:val="center"/>
            </w:pPr>
            <w:r>
              <w:rPr>
                <w:rFonts w:ascii="Times New Roman" w:hAnsi="Times New Roman"/>
                <w:sz w:val="20"/>
              </w:rPr>
              <w:t>60.1%</w:t>
            </w:r>
          </w:p>
        </w:tc>
        <w:tc>
          <w:tcPr>
            <w:tcW w:type="dxa" w:w="1881"/>
          </w:tcPr>
          <w:p>
            <w:pPr>
              <w:jc w:val="center"/>
            </w:pPr>
            <w:r>
              <w:rPr>
                <w:rFonts w:ascii="Times New Roman" w:hAnsi="Times New Roman"/>
                <w:sz w:val="20"/>
              </w:rPr>
              <w:t>60.5%</w:t>
            </w:r>
          </w:p>
        </w:tc>
        <w:tc>
          <w:tcPr>
            <w:tcW w:type="dxa" w:w="1881"/>
          </w:tcPr>
          <w:p>
            <w:pPr>
              <w:jc w:val="center"/>
            </w:pPr>
            <w:r>
              <w:rPr>
                <w:rFonts w:ascii="Times New Roman" w:hAnsi="Times New Roman"/>
                <w:sz w:val="20"/>
              </w:rPr>
              <w:t>-40 bps</w:t>
            </w:r>
          </w:p>
        </w:tc>
      </w:tr>
      <w:tr>
        <w:tc>
          <w:tcPr>
            <w:tcW w:type="dxa" w:w="1881"/>
          </w:tcPr>
          <w:p>
            <w:pPr>
              <w:jc w:val="left"/>
            </w:pPr>
            <w:r>
              <w:rPr>
                <w:rFonts w:ascii="Times New Roman" w:hAnsi="Times New Roman"/>
                <w:sz w:val="20"/>
              </w:rPr>
              <w:t>Base Business Op. Margin</w:t>
            </w:r>
          </w:p>
        </w:tc>
        <w:tc>
          <w:tcPr>
            <w:tcW w:type="dxa" w:w="1881"/>
          </w:tcPr>
          <w:p>
            <w:pPr>
              <w:jc w:val="center"/>
            </w:pPr>
            <w:r>
              <w:rPr>
                <w:rFonts w:ascii="Times New Roman" w:hAnsi="Times New Roman"/>
                <w:sz w:val="20"/>
              </w:rPr>
              <w:t>21.2%</w:t>
            </w:r>
          </w:p>
        </w:tc>
        <w:tc>
          <w:tcPr>
            <w:tcW w:type="dxa" w:w="1881"/>
          </w:tcPr>
          <w:p>
            <w:pPr>
              <w:jc w:val="center"/>
            </w:pPr>
            <w:r>
              <w:rPr>
                <w:rFonts w:ascii="Times New Roman" w:hAnsi="Times New Roman"/>
                <w:sz w:val="20"/>
              </w:rPr>
              <w:t>21.3%</w:t>
            </w:r>
          </w:p>
        </w:tc>
        <w:tc>
          <w:tcPr>
            <w:tcW w:type="dxa" w:w="1881"/>
          </w:tcPr>
          <w:p>
            <w:pPr>
              <w:jc w:val="center"/>
            </w:pPr>
            <w:r>
              <w:rPr>
                <w:rFonts w:ascii="Times New Roman" w:hAnsi="Times New Roman"/>
                <w:sz w:val="20"/>
              </w:rPr>
              <w:t>21.7%</w:t>
            </w:r>
          </w:p>
        </w:tc>
        <w:tc>
          <w:tcPr>
            <w:tcW w:type="dxa" w:w="1881"/>
          </w:tcPr>
          <w:p>
            <w:pPr>
              <w:jc w:val="center"/>
            </w:pPr>
            <w:r>
              <w:rPr>
                <w:rFonts w:ascii="Times New Roman" w:hAnsi="Times New Roman"/>
                <w:sz w:val="20"/>
              </w:rPr>
              <w:t>-40 bps</w:t>
            </w:r>
          </w:p>
        </w:tc>
      </w:tr>
      <w:tr>
        <w:tc>
          <w:tcPr>
            <w:tcW w:type="dxa" w:w="1881"/>
          </w:tcPr>
          <w:p>
            <w:pPr>
              <w:jc w:val="left"/>
            </w:pPr>
            <w:r>
              <w:rPr>
                <w:rFonts w:ascii="Times New Roman" w:hAnsi="Times New Roman"/>
                <w:sz w:val="20"/>
              </w:rPr>
              <w:t>Base Business EPS</w:t>
            </w:r>
          </w:p>
        </w:tc>
        <w:tc>
          <w:tcPr>
            <w:tcW w:type="dxa" w:w="1881"/>
          </w:tcPr>
          <w:p>
            <w:pPr>
              <w:jc w:val="center"/>
            </w:pPr>
            <w:r>
              <w:rPr>
                <w:rFonts w:ascii="Times New Roman" w:hAnsi="Times New Roman"/>
                <w:sz w:val="20"/>
              </w:rPr>
              <w:t>$0.95</w:t>
            </w:r>
          </w:p>
        </w:tc>
        <w:tc>
          <w:tcPr>
            <w:tcW w:type="dxa" w:w="1881"/>
          </w:tcPr>
          <w:p>
            <w:pPr>
              <w:jc w:val="center"/>
            </w:pPr>
            <w:r>
              <w:rPr>
                <w:rFonts w:ascii="Times New Roman" w:hAnsi="Times New Roman"/>
                <w:sz w:val="20"/>
              </w:rPr>
              <w:t>$3.69</w:t>
            </w:r>
          </w:p>
        </w:tc>
        <w:tc>
          <w:tcPr>
            <w:tcW w:type="dxa" w:w="1881"/>
          </w:tcPr>
          <w:p>
            <w:pPr>
              <w:jc w:val="center"/>
            </w:pPr>
            <w:r>
              <w:rPr>
                <w:rFonts w:ascii="Times New Roman" w:hAnsi="Times New Roman"/>
                <w:sz w:val="20"/>
              </w:rPr>
              <w:t>$3.60</w:t>
            </w:r>
          </w:p>
        </w:tc>
        <w:tc>
          <w:tcPr>
            <w:tcW w:type="dxa" w:w="1881"/>
          </w:tcPr>
          <w:p>
            <w:pPr>
              <w:jc w:val="center"/>
            </w:pPr>
            <w:r>
              <w:rPr>
                <w:rFonts w:ascii="Times New Roman" w:hAnsi="Times New Roman"/>
                <w:sz w:val="20"/>
              </w:rPr>
              <w:t>+2.5%</w:t>
            </w:r>
          </w:p>
        </w:tc>
      </w:tr>
      <w:tr>
        <w:tc>
          <w:tcPr>
            <w:tcW w:type="dxa" w:w="1881"/>
          </w:tcPr>
          <w:p>
            <w:pPr>
              <w:jc w:val="left"/>
            </w:pPr>
            <w:r>
              <w:rPr>
                <w:rFonts w:ascii="Times New Roman" w:hAnsi="Times New Roman"/>
                <w:sz w:val="20"/>
              </w:rPr>
              <w:t>Operating Cash Flow</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$4,198M</w:t>
            </w:r>
          </w:p>
        </w:tc>
        <w:tc>
          <w:tcPr>
            <w:tcW w:type="dxa" w:w="1881"/>
          </w:tcPr>
          <w:p>
            <w:pPr>
              <w:jc w:val="center"/>
            </w:pPr>
            <w:r>
              <w:rPr>
                <w:rFonts w:ascii="Times New Roman" w:hAnsi="Times New Roman"/>
                <w:sz w:val="20"/>
              </w:rPr>
              <w:t>$3,900M*</w:t>
            </w:r>
          </w:p>
        </w:tc>
        <w:tc>
          <w:tcPr>
            <w:tcW w:type="dxa" w:w="1881"/>
          </w:tcPr>
          <w:p>
            <w:pPr>
              <w:jc w:val="center"/>
            </w:pPr>
            <w:r>
              <w:rPr>
                <w:rFonts w:ascii="Times New Roman" w:hAnsi="Times New Roman"/>
                <w:sz w:val="20"/>
              </w:rPr>
              <w:t>Record</w:t>
            </w:r>
          </w:p>
        </w:tc>
      </w:tr>
      <w:tr>
        <w:tc>
          <w:tcPr>
            <w:tcW w:type="dxa" w:w="1881"/>
          </w:tcPr>
          <w:p>
            <w:pPr>
              <w:jc w:val="left"/>
            </w:pPr>
            <w:r>
              <w:rPr>
                <w:rFonts w:ascii="Times New Roman" w:hAnsi="Times New Roman"/>
                <w:sz w:val="20"/>
              </w:rPr>
              <w:t>Free Cash Flow</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$3,634M</w:t>
            </w:r>
          </w:p>
        </w:tc>
        <w:tc>
          <w:tcPr>
            <w:tcW w:type="dxa" w:w="1881"/>
          </w:tcPr>
          <w:p>
            <w:pPr>
              <w:jc w:val="center"/>
            </w:pPr>
            <w:r>
              <w:rPr>
                <w:rFonts w:ascii="Times New Roman" w:hAnsi="Times New Roman"/>
                <w:sz w:val="20"/>
              </w:rPr>
              <w:t>$3,500M</w:t>
            </w:r>
          </w:p>
        </w:tc>
        <w:tc>
          <w:tcPr>
            <w:tcW w:type="dxa" w:w="1881"/>
          </w:tcPr>
          <w:p>
            <w:pPr>
              <w:jc w:val="center"/>
            </w:pPr>
            <w:r>
              <w:rPr>
                <w:rFonts w:ascii="Times New Roman" w:hAnsi="Times New Roman"/>
                <w:sz w:val="20"/>
              </w:rPr>
              <w:t>Record</w:t>
            </w:r>
          </w:p>
        </w:tc>
      </w:tr>
      <w:tr>
        <w:tc>
          <w:tcPr>
            <w:tcW w:type="dxa" w:w="1881"/>
          </w:tcPr>
          <w:p>
            <w:pPr>
              <w:jc w:val="left"/>
            </w:pPr>
            <w:r>
              <w:rPr>
                <w:rFonts w:ascii="Times New Roman" w:hAnsi="Times New Roman"/>
                <w:sz w:val="20"/>
              </w:rPr>
              <w:t>Toothpaste Market Share</w:t>
            </w:r>
          </w:p>
        </w:tc>
        <w:tc>
          <w:tcPr>
            <w:tcW w:type="dxa" w:w="1881"/>
          </w:tcPr>
          <w:p>
            <w:pPr>
              <w:jc w:val="center"/>
            </w:pPr>
            <w:r>
              <w:rPr>
                <w:rFonts w:ascii="Times New Roman" w:hAnsi="Times New Roman"/>
                <w:sz w:val="20"/>
              </w:rPr>
              <w:t>41.3%</w:t>
            </w:r>
          </w:p>
        </w:tc>
        <w:tc>
          <w:tcPr>
            <w:tcW w:type="dxa" w:w="1881"/>
          </w:tcPr>
          <w:p>
            <w:pPr>
              <w:jc w:val="center"/>
            </w:pPr>
            <w:r>
              <w:rPr>
                <w:rFonts w:ascii="Times New Roman" w:hAnsi="Times New Roman"/>
                <w:sz w:val="20"/>
              </w:rPr>
              <w:t>41.3%</w:t>
            </w:r>
          </w:p>
        </w:tc>
        <w:tc>
          <w:tcPr>
            <w:tcW w:type="dxa" w:w="1881"/>
          </w:tcPr>
          <w:p>
            <w:pPr>
              <w:jc w:val="center"/>
            </w:pPr>
            <w:r>
              <w:rPr>
                <w:rFonts w:ascii="Times New Roman" w:hAnsi="Times New Roman"/>
                <w:sz w:val="20"/>
              </w:rPr>
              <w:t>41.4%</w:t>
            </w:r>
          </w:p>
        </w:tc>
        <w:tc>
          <w:tcPr>
            <w:tcW w:type="dxa" w:w="1881"/>
          </w:tcPr>
          <w:p>
            <w:pPr>
              <w:jc w:val="center"/>
            </w:pPr>
            <w:r>
              <w:rPr>
                <w:rFonts w:ascii="Times New Roman" w:hAnsi="Times New Roman"/>
                <w:sz w:val="20"/>
              </w:rPr>
              <w:t>-10 bps</w:t>
            </w:r>
          </w:p>
        </w:tc>
      </w:tr>
      <w:tr>
        <w:tc>
          <w:tcPr>
            <w:tcW w:type="dxa" w:w="1881"/>
          </w:tcPr>
          <w:p>
            <w:pPr>
              <w:jc w:val="left"/>
            </w:pPr>
            <w:r>
              <w:rPr>
                <w:rFonts w:ascii="Times New Roman" w:hAnsi="Times New Roman"/>
                <w:sz w:val="20"/>
              </w:rPr>
              <w:t>Advertising Spend</w:t>
            </w:r>
          </w:p>
        </w:tc>
        <w:tc>
          <w:tcPr>
            <w:tcW w:type="dxa" w:w="1881"/>
          </w:tcPr>
          <w:p>
            <w:pPr>
              <w:jc w:val="center"/>
            </w:pPr>
            <w:r>
              <w:rPr>
                <w:rFonts w:ascii="Times New Roman" w:hAnsi="Times New Roman"/>
                <w:sz w:val="20"/>
              </w:rPr>
              <w:t>+5% ($ basis)</w:t>
            </w:r>
          </w:p>
        </w:tc>
        <w:tc>
          <w:tcPr>
            <w:tcW w:type="dxa" w:w="1881"/>
          </w:tcPr>
          <w:p>
            <w:pPr>
              <w:jc w:val="center"/>
            </w:pPr>
            <w:r>
              <w:rPr>
                <w:rFonts w:ascii="Times New Roman" w:hAnsi="Times New Roman"/>
                <w:sz w:val="20"/>
              </w:rPr>
              <w:t>$2,703M</w:t>
            </w:r>
          </w:p>
        </w:tc>
        <w:tc>
          <w:tcPr>
            <w:tcW w:type="dxa" w:w="1881"/>
          </w:tcPr>
          <w:p>
            <w:pPr>
              <w:jc w:val="center"/>
            </w:pPr>
            <w:r>
              <w:rPr>
                <w:rFonts w:ascii="Times New Roman" w:hAnsi="Times New Roman"/>
                <w:sz w:val="20"/>
              </w:rPr>
              <w:t>$2,720M</w:t>
            </w:r>
          </w:p>
        </w:tc>
        <w:tc>
          <w:tcPr>
            <w:tcW w:type="dxa" w:w="1881"/>
          </w:tcPr>
          <w:p>
            <w:pPr>
              <w:jc w:val="center"/>
            </w:pPr>
            <w:r>
              <w:rPr>
                <w:rFonts w:ascii="Times New Roman" w:hAnsi="Times New Roman"/>
                <w:sz w:val="20"/>
              </w:rPr>
              <w:t>-0.6%</w:t>
            </w:r>
          </w:p>
        </w:tc>
      </w:tr>
    </w:tbl>
    <w:p>
      <w:pPr>
        <w:spacing w:after="240"/>
      </w:pPr>
      <w:r>
        <w:rPr>
          <w:rFonts w:ascii="Times New Roman" w:hAnsi="Times New Roman"/>
          <w:b w:val="0"/>
          <w:i/>
          <w:color w:val="777777"/>
          <w:sz w:val="16"/>
        </w:rPr>
        <w:t>Source: Colgate-Palmolive Q4 &amp; FY2025 Earnings Release (January 30, 2026). *Estimated.</w:t>
      </w:r>
    </w:p>
    <w:p>
      <w:pPr>
        <w:jc w:val="center"/>
      </w:pPr>
      <w:r>
        <w:drawing>
          <wp:inline xmlns:a="http://schemas.openxmlformats.org/drawingml/2006/main" xmlns:pic="http://schemas.openxmlformats.org/drawingml/2006/picture">
            <wp:extent cx="5029200" cy="3472788"/>
            <wp:docPr id="6" name="Picture 6"/>
            <wp:cNvGraphicFramePr>
              <a:graphicFrameLocks noChangeAspect="1"/>
            </wp:cNvGraphicFramePr>
            <a:graphic>
              <a:graphicData uri="http://schemas.openxmlformats.org/drawingml/2006/picture">
                <pic:pic>
                  <pic:nvPicPr>
                    <pic:cNvPr id="0" name="chart7_fcf.png"/>
                    <pic:cNvPicPr/>
                  </pic:nvPicPr>
                  <pic:blipFill>
                    <a:blip r:embed="rId14"/>
                    <a:stretch>
                      <a:fillRect/>
                    </a:stretch>
                  </pic:blipFill>
                  <pic:spPr>
                    <a:xfrm>
                      <a:off x="0" y="0"/>
                      <a:ext cx="5029200" cy="3472788"/>
                    </a:xfrm>
                    <a:prstGeom prst="rect"/>
                  </pic:spPr>
                </pic:pic>
              </a:graphicData>
            </a:graphic>
          </wp:inline>
        </w:drawing>
      </w:r>
    </w:p>
    <w:p>
      <w:pPr>
        <w:spacing w:after="240"/>
        <w:jc w:val="center"/>
      </w:pPr>
      <w:r>
        <w:rPr>
          <w:rFonts w:ascii="Times New Roman" w:hAnsi="Times New Roman"/>
          <w:b w:val="0"/>
          <w:i/>
          <w:color w:val="777777"/>
          <w:sz w:val="18"/>
        </w:rPr>
        <w:t>Figure 6: Free Cash Flow — Record $3.6B Supports Dividend Growth and Buybacks</w:t>
      </w:r>
    </w:p>
    <w:p>
      <w:pPr>
        <w:jc w:val="center"/>
      </w:pPr>
      <w:r>
        <w:drawing>
          <wp:inline xmlns:a="http://schemas.openxmlformats.org/drawingml/2006/main" xmlns:pic="http://schemas.openxmlformats.org/drawingml/2006/picture">
            <wp:extent cx="5029200" cy="4169050"/>
            <wp:docPr id="7" name="Picture 7"/>
            <wp:cNvGraphicFramePr>
              <a:graphicFrameLocks noChangeAspect="1"/>
            </wp:cNvGraphicFramePr>
            <a:graphic>
              <a:graphicData uri="http://schemas.openxmlformats.org/drawingml/2006/picture">
                <pic:pic>
                  <pic:nvPicPr>
                    <pic:cNvPr id="0" name="chart8_market_share.png"/>
                    <pic:cNvPicPr/>
                  </pic:nvPicPr>
                  <pic:blipFill>
                    <a:blip r:embed="rId15"/>
                    <a:stretch>
                      <a:fillRect/>
                    </a:stretch>
                  </pic:blipFill>
                  <pic:spPr>
                    <a:xfrm>
                      <a:off x="0" y="0"/>
                      <a:ext cx="5029200" cy="4169050"/>
                    </a:xfrm>
                    <a:prstGeom prst="rect"/>
                  </pic:spPr>
                </pic:pic>
              </a:graphicData>
            </a:graphic>
          </wp:inline>
        </w:drawing>
      </w:r>
    </w:p>
    <w:p>
      <w:pPr>
        <w:spacing w:after="240"/>
        <w:jc w:val="center"/>
      </w:pPr>
      <w:r>
        <w:rPr>
          <w:rFonts w:ascii="Times New Roman" w:hAnsi="Times New Roman"/>
          <w:b w:val="0"/>
          <w:i/>
          <w:color w:val="777777"/>
          <w:sz w:val="18"/>
        </w:rPr>
        <w:t>Figure 7: Global Market Share — Dominant Oral Care Position Maintained</w:t>
      </w:r>
    </w:p>
    <w:p>
      <w:pPr>
        <w:pStyle w:val="Heading2"/>
      </w:pPr>
      <w:r>
        <w:rPr>
          <w:rFonts w:ascii="Times New Roman" w:hAnsi="Times New Roman"/>
          <w:color w:val="17365D"/>
        </w:rPr>
        <w:t>Hill's Pet Nutrition</w:t>
      </w:r>
    </w:p>
    <w:p>
      <w:pPr>
        <w:spacing w:after="120"/>
      </w:pPr>
      <w:r>
        <w:rPr>
          <w:rFonts w:ascii="Times New Roman" w:hAnsi="Times New Roman"/>
          <w:b w:val="0"/>
          <w:i w:val="0"/>
          <w:color w:val="000000"/>
          <w:sz w:val="22"/>
        </w:rPr>
        <w:t>Hill's delivered +4.9% net sales growth in Q4 (organic +1.5%), with currency providing a +1.6% tailwind and the private label exit a -2.2% drag. Excluding private label, Hill's grew &gt;5%. Prescription Diet continues to gain market share, and management described it as 'growing very, very nicely.' Volume was slightly positive (+0.3%) with pricing of +3.0%.</w:t>
      </w:r>
    </w:p>
    <w:p>
      <w:pPr>
        <w:spacing w:after="120"/>
      </w:pPr>
      <w:r>
        <w:rPr>
          <w:rFonts w:ascii="Times New Roman" w:hAnsi="Times New Roman"/>
          <w:b w:val="0"/>
          <w:i w:val="0"/>
          <w:color w:val="000000"/>
          <w:sz w:val="22"/>
        </w:rPr>
        <w:t>For the full year, Hill's generated approximately $4.6 billion in revenue, making it roughly 23% of total Colgate sales. The segment's science-led positioning in veterinary-recommended pet nutrition provides a structural growth tailwind as pet humanization trends continue.</w:t>
      </w:r>
    </w:p>
    <w:p>
      <w:pPr>
        <w:pStyle w:val="Heading2"/>
      </w:pPr>
      <w:r>
        <w:rPr>
          <w:rFonts w:ascii="Times New Roman" w:hAnsi="Times New Roman"/>
          <w:color w:val="17365D"/>
        </w:rPr>
        <w:t>FY2026 Guidance</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0"/>
              </w:rPr>
              <w:t>Metric</w:t>
            </w:r>
          </w:p>
        </w:tc>
        <w:tc>
          <w:tcPr>
            <w:tcW w:type="dxa" w:w="3135"/>
          </w:tcPr>
          <w:p>
            <w:pPr>
              <w:jc w:val="center"/>
            </w:pPr>
            <w:r>
              <w:rPr>
                <w:rFonts w:ascii="Times New Roman" w:hAnsi="Times New Roman"/>
                <w:b/>
                <w:sz w:val="20"/>
              </w:rPr>
              <w:t>FY2026 Guidance</w:t>
            </w:r>
          </w:p>
        </w:tc>
        <w:tc>
          <w:tcPr>
            <w:tcW w:type="dxa" w:w="3135"/>
          </w:tcPr>
          <w:p>
            <w:pPr>
              <w:jc w:val="center"/>
            </w:pPr>
            <w:r>
              <w:rPr>
                <w:rFonts w:ascii="Times New Roman" w:hAnsi="Times New Roman"/>
                <w:b/>
                <w:sz w:val="20"/>
              </w:rPr>
              <w:t>Scenario Framework</w:t>
            </w:r>
          </w:p>
        </w:tc>
      </w:tr>
      <w:tr>
        <w:tc>
          <w:tcPr>
            <w:tcW w:type="dxa" w:w="3135"/>
          </w:tcPr>
          <w:p>
            <w:pPr>
              <w:jc w:val="left"/>
            </w:pPr>
            <w:r>
              <w:rPr>
                <w:rFonts w:ascii="Times New Roman" w:hAnsi="Times New Roman"/>
                <w:sz w:val="20"/>
              </w:rPr>
              <w:t>Net Sales Growth</w:t>
            </w:r>
          </w:p>
        </w:tc>
        <w:tc>
          <w:tcPr>
            <w:tcW w:type="dxa" w:w="3135"/>
          </w:tcPr>
          <w:p>
            <w:pPr>
              <w:jc w:val="center"/>
            </w:pPr>
            <w:r>
              <w:rPr>
                <w:rFonts w:ascii="Times New Roman" w:hAnsi="Times New Roman"/>
                <w:sz w:val="20"/>
              </w:rPr>
              <w:t>+2% to +6%</w:t>
            </w:r>
          </w:p>
        </w:tc>
        <w:tc>
          <w:tcPr>
            <w:tcW w:type="dxa" w:w="3135"/>
          </w:tcPr>
          <w:p>
            <w:pPr>
              <w:jc w:val="center"/>
            </w:pPr>
            <w:r>
              <w:rPr>
                <w:rFonts w:ascii="Times New Roman" w:hAnsi="Times New Roman"/>
                <w:sz w:val="20"/>
              </w:rPr>
              <w:t>FX low-single-digit positive (H1 weighted)</w:t>
            </w:r>
          </w:p>
        </w:tc>
      </w:tr>
      <w:tr>
        <w:tc>
          <w:tcPr>
            <w:tcW w:type="dxa" w:w="3135"/>
          </w:tcPr>
          <w:p>
            <w:pPr>
              <w:jc w:val="left"/>
            </w:pPr>
            <w:r>
              <w:rPr>
                <w:rFonts w:ascii="Times New Roman" w:hAnsi="Times New Roman"/>
                <w:sz w:val="20"/>
              </w:rPr>
              <w:t>Organic Sales Growth</w:t>
            </w:r>
          </w:p>
        </w:tc>
        <w:tc>
          <w:tcPr>
            <w:tcW w:type="dxa" w:w="3135"/>
          </w:tcPr>
          <w:p>
            <w:pPr>
              <w:jc w:val="center"/>
            </w:pPr>
            <w:r>
              <w:rPr>
                <w:rFonts w:ascii="Times New Roman" w:hAnsi="Times New Roman"/>
                <w:sz w:val="20"/>
              </w:rPr>
              <w:t>+1% to +4%</w:t>
            </w:r>
          </w:p>
        </w:tc>
        <w:tc>
          <w:tcPr>
            <w:tcW w:type="dxa" w:w="3135"/>
          </w:tcPr>
          <w:p>
            <w:pPr>
              <w:jc w:val="center"/>
            </w:pPr>
            <w:r>
              <w:rPr>
                <w:rFonts w:ascii="Times New Roman" w:hAnsi="Times New Roman"/>
                <w:sz w:val="20"/>
              </w:rPr>
              <w:t>Low end if categories worsen; high end if strengthen</w:t>
            </w:r>
          </w:p>
        </w:tc>
      </w:tr>
      <w:tr>
        <w:tc>
          <w:tcPr>
            <w:tcW w:type="dxa" w:w="3135"/>
          </w:tcPr>
          <w:p>
            <w:pPr>
              <w:jc w:val="left"/>
            </w:pPr>
            <w:r>
              <w:rPr>
                <w:rFonts w:ascii="Times New Roman" w:hAnsi="Times New Roman"/>
                <w:sz w:val="20"/>
              </w:rPr>
              <w:t>Gross Margin</w:t>
            </w:r>
          </w:p>
        </w:tc>
        <w:tc>
          <w:tcPr>
            <w:tcW w:type="dxa" w:w="3135"/>
          </w:tcPr>
          <w:p>
            <w:pPr>
              <w:jc w:val="center"/>
            </w:pPr>
            <w:r>
              <w:rPr>
                <w:rFonts w:ascii="Times New Roman" w:hAnsi="Times New Roman"/>
                <w:sz w:val="20"/>
              </w:rPr>
              <w:t>Expansion (GAAP &amp; Base)</w:t>
            </w:r>
          </w:p>
        </w:tc>
        <w:tc>
          <w:tcPr>
            <w:tcW w:type="dxa" w:w="3135"/>
          </w:tcPr>
          <w:p>
            <w:pPr>
              <w:jc w:val="center"/>
            </w:pPr>
            <w:r>
              <w:rPr>
                <w:rFonts w:ascii="Times New Roman" w:hAnsi="Times New Roman"/>
                <w:sz w:val="20"/>
              </w:rPr>
              <w:t>Funded productivity + RGM offsetting inflation</w:t>
            </w:r>
          </w:p>
        </w:tc>
      </w:tr>
      <w:tr>
        <w:tc>
          <w:tcPr>
            <w:tcW w:type="dxa" w:w="3135"/>
          </w:tcPr>
          <w:p>
            <w:pPr>
              <w:jc w:val="left"/>
            </w:pPr>
            <w:r>
              <w:rPr>
                <w:rFonts w:ascii="Times New Roman" w:hAnsi="Times New Roman"/>
                <w:sz w:val="20"/>
              </w:rPr>
              <w:t>GAAP EPS Growth</w:t>
            </w:r>
          </w:p>
        </w:tc>
        <w:tc>
          <w:tcPr>
            <w:tcW w:type="dxa" w:w="3135"/>
          </w:tcPr>
          <w:p>
            <w:pPr>
              <w:jc w:val="center"/>
            </w:pPr>
            <w:r>
              <w:rPr>
                <w:rFonts w:ascii="Times New Roman" w:hAnsi="Times New Roman"/>
                <w:sz w:val="20"/>
              </w:rPr>
              <w:t>Double-digit</w:t>
            </w:r>
          </w:p>
        </w:tc>
        <w:tc>
          <w:tcPr>
            <w:tcW w:type="dxa" w:w="3135"/>
          </w:tcPr>
          <w:p>
            <w:pPr>
              <w:jc w:val="center"/>
            </w:pPr>
            <w:r>
              <w:rPr>
                <w:rFonts w:ascii="Times New Roman" w:hAnsi="Times New Roman"/>
                <w:sz w:val="20"/>
              </w:rPr>
              <w:t>Non-recurrence of Filorga impairment</w:t>
            </w:r>
          </w:p>
        </w:tc>
      </w:tr>
      <w:tr>
        <w:tc>
          <w:tcPr>
            <w:tcW w:type="dxa" w:w="3135"/>
          </w:tcPr>
          <w:p>
            <w:pPr>
              <w:jc w:val="left"/>
            </w:pPr>
            <w:r>
              <w:rPr>
                <w:rFonts w:ascii="Times New Roman" w:hAnsi="Times New Roman"/>
                <w:sz w:val="20"/>
              </w:rPr>
              <w:t>Base Business EPS Growth</w:t>
            </w:r>
          </w:p>
        </w:tc>
        <w:tc>
          <w:tcPr>
            <w:tcW w:type="dxa" w:w="3135"/>
          </w:tcPr>
          <w:p>
            <w:pPr>
              <w:jc w:val="center"/>
            </w:pPr>
            <w:r>
              <w:rPr>
                <w:rFonts w:ascii="Times New Roman" w:hAnsi="Times New Roman"/>
                <w:sz w:val="20"/>
              </w:rPr>
              <w:t>Low-to-mid single digit</w:t>
            </w:r>
          </w:p>
        </w:tc>
        <w:tc>
          <w:tcPr>
            <w:tcW w:type="dxa" w:w="3135"/>
          </w:tcPr>
          <w:p>
            <w:pPr>
              <w:jc w:val="center"/>
            </w:pPr>
            <w:r>
              <w:rPr>
                <w:rFonts w:ascii="Times New Roman" w:hAnsi="Times New Roman"/>
                <w:sz w:val="20"/>
              </w:rPr>
              <w:t>Increased advertising investment</w:t>
            </w:r>
          </w:p>
        </w:tc>
      </w:tr>
      <w:tr>
        <w:tc>
          <w:tcPr>
            <w:tcW w:type="dxa" w:w="3135"/>
          </w:tcPr>
          <w:p>
            <w:pPr>
              <w:jc w:val="left"/>
            </w:pPr>
            <w:r>
              <w:rPr>
                <w:rFonts w:ascii="Times New Roman" w:hAnsi="Times New Roman"/>
                <w:sz w:val="20"/>
              </w:rPr>
              <w:t>Advertising</w:t>
            </w:r>
          </w:p>
        </w:tc>
        <w:tc>
          <w:tcPr>
            <w:tcW w:type="dxa" w:w="3135"/>
          </w:tcPr>
          <w:p>
            <w:pPr>
              <w:jc w:val="center"/>
            </w:pPr>
            <w:r>
              <w:rPr>
                <w:rFonts w:ascii="Times New Roman" w:hAnsi="Times New Roman"/>
                <w:sz w:val="20"/>
              </w:rPr>
              <w:t>Up ($ and % of sales)</w:t>
            </w:r>
          </w:p>
        </w:tc>
        <w:tc>
          <w:tcPr>
            <w:tcW w:type="dxa" w:w="3135"/>
          </w:tcPr>
          <w:p>
            <w:pPr>
              <w:jc w:val="center"/>
            </w:pPr>
            <w:r>
              <w:rPr>
                <w:rFonts w:ascii="Times New Roman" w:hAnsi="Times New Roman"/>
                <w:sz w:val="20"/>
              </w:rPr>
              <w:t>Stronger innovation pipeline backing spend</w:t>
            </w:r>
          </w:p>
        </w:tc>
      </w:tr>
    </w:tbl>
    <w:p>
      <w:pPr>
        <w:spacing w:after="240"/>
      </w:pPr>
      <w:r>
        <w:rPr>
          <w:rFonts w:ascii="Times New Roman" w:hAnsi="Times New Roman"/>
          <w:b w:val="0"/>
          <w:i/>
          <w:color w:val="777777"/>
          <w:sz w:val="16"/>
        </w:rPr>
        <w:t>Source: Colgate-Palmolive FY2026 Guidance (January 30, 2026 Earnings Call)</w:t>
      </w:r>
    </w:p>
    <w:p>
      <w:pPr>
        <w:jc w:val="center"/>
      </w:pPr>
      <w:r>
        <w:drawing>
          <wp:inline xmlns:a="http://schemas.openxmlformats.org/drawingml/2006/main" xmlns:pic="http://schemas.openxmlformats.org/drawingml/2006/picture">
            <wp:extent cx="5029200" cy="3331968"/>
            <wp:docPr id="8" name="Picture 8"/>
            <wp:cNvGraphicFramePr>
              <a:graphicFrameLocks noChangeAspect="1"/>
            </wp:cNvGraphicFramePr>
            <a:graphic>
              <a:graphicData uri="http://schemas.openxmlformats.org/drawingml/2006/picture">
                <pic:pic>
                  <pic:nvPicPr>
                    <pic:cNvPr id="0" name="chart10_guidance.png"/>
                    <pic:cNvPicPr/>
                  </pic:nvPicPr>
                  <pic:blipFill>
                    <a:blip r:embed="rId16"/>
                    <a:stretch>
                      <a:fillRect/>
                    </a:stretch>
                  </pic:blipFill>
                  <pic:spPr>
                    <a:xfrm>
                      <a:off x="0" y="0"/>
                      <a:ext cx="5029200" cy="3331968"/>
                    </a:xfrm>
                    <a:prstGeom prst="rect"/>
                  </pic:spPr>
                </pic:pic>
              </a:graphicData>
            </a:graphic>
          </wp:inline>
        </w:drawing>
      </w:r>
    </w:p>
    <w:p>
      <w:pPr>
        <w:spacing w:after="240"/>
        <w:jc w:val="center"/>
      </w:pPr>
      <w:r>
        <w:rPr>
          <w:rFonts w:ascii="Times New Roman" w:hAnsi="Times New Roman"/>
          <w:b w:val="0"/>
          <w:i/>
          <w:color w:val="777777"/>
          <w:sz w:val="18"/>
        </w:rPr>
        <w:t>Figure 8: FY2026 Guidance Ranges — Scenario-Based Framework</w:t>
      </w:r>
    </w:p>
    <w:p>
      <w:r>
        <w:br w:type="page"/>
      </w:r>
    </w:p>
    <w:p>
      <w:pPr>
        <w:pStyle w:val="Heading1"/>
      </w:pPr>
      <w:r>
        <w:rPr>
          <w:rFonts w:ascii="Times New Roman" w:hAnsi="Times New Roman"/>
          <w:color w:val="17365D"/>
        </w:rPr>
        <w:t>Updated Investment Thesis</w:t>
      </w:r>
    </w:p>
    <w:p>
      <w:pPr>
        <w:pStyle w:val="Heading2"/>
      </w:pPr>
      <w:r>
        <w:rPr>
          <w:rFonts w:ascii="Times New Roman" w:hAnsi="Times New Roman"/>
          <w:color w:val="17365D"/>
        </w:rPr>
        <w:t>Thesis Pillar Assessment</w:t>
      </w:r>
    </w:p>
    <w:p>
      <w:pPr>
        <w:spacing w:after="40"/>
      </w:pPr>
      <w:r>
        <w:rPr>
          <w:rFonts w:ascii="Times New Roman" w:hAnsi="Times New Roman"/>
          <w:b/>
          <w:sz w:val="22"/>
        </w:rPr>
        <w:t xml:space="preserve">Global Oral Care Leadership: </w:t>
      </w:r>
      <w:r>
        <w:rPr>
          <w:rFonts w:ascii="Times New Roman" w:hAnsi="Times New Roman"/>
          <w:b/>
          <w:color w:val="777777"/>
          <w:sz w:val="22"/>
        </w:rPr>
        <w:t>UNCHANGED</w:t>
      </w:r>
    </w:p>
    <w:p>
      <w:pPr>
        <w:spacing w:after="200"/>
      </w:pPr>
      <w:r>
        <w:rPr>
          <w:rFonts w:ascii="Times New Roman" w:hAnsi="Times New Roman"/>
          <w:b w:val="0"/>
          <w:i w:val="0"/>
          <w:color w:val="000000"/>
          <w:sz w:val="20"/>
        </w:rPr>
        <w:t>41.3% global toothpaste share maintained. The category remains resilient — oral care is non-discretionary with pricing power. Innovation pipeline for 2026 described as "much stronger" with aggressive new products planned for North America and India. The core franchise is intact.</w:t>
      </w:r>
    </w:p>
    <w:p>
      <w:pPr>
        <w:spacing w:after="40"/>
      </w:pPr>
      <w:r>
        <w:rPr>
          <w:rFonts w:ascii="Times New Roman" w:hAnsi="Times New Roman"/>
          <w:b/>
          <w:sz w:val="22"/>
        </w:rPr>
        <w:t xml:space="preserve">Emerging Markets Growth Engine: </w:t>
      </w:r>
      <w:r>
        <w:rPr>
          <w:rFonts w:ascii="Times New Roman" w:hAnsi="Times New Roman"/>
          <w:b/>
          <w:color w:val="2ECC71"/>
          <w:sz w:val="22"/>
        </w:rPr>
        <w:t>STRENGTHENED</w:t>
      </w:r>
    </w:p>
    <w:p>
      <w:pPr>
        <w:spacing w:after="200"/>
      </w:pPr>
      <w:r>
        <w:rPr>
          <w:rFonts w:ascii="Times New Roman" w:hAnsi="Times New Roman"/>
          <w:b w:val="0"/>
          <w:i w:val="0"/>
          <w:color w:val="000000"/>
          <w:sz w:val="20"/>
        </w:rPr>
        <w:t>Q4 demonstrated the portfolio's geographic diversification value. Africa/Eurasia (+10.3%), Latin America (+6.5%) delivered outsized growth that offset developed market softness. Emerging markets grew ~4.5% organic with balanced volume/pricing — healthier than pure inflationary pricing. This is exactly what the thesis depends on.</w:t>
      </w:r>
    </w:p>
    <w:p>
      <w:pPr>
        <w:spacing w:after="40"/>
      </w:pPr>
      <w:r>
        <w:rPr>
          <w:rFonts w:ascii="Times New Roman" w:hAnsi="Times New Roman"/>
          <w:b/>
          <w:sz w:val="22"/>
        </w:rPr>
        <w:t xml:space="preserve">Gross Margin Expansion: </w:t>
      </w:r>
      <w:r>
        <w:rPr>
          <w:rFonts w:ascii="Times New Roman" w:hAnsi="Times New Roman"/>
          <w:b/>
          <w:color w:val="E74C3C"/>
          <w:sz w:val="22"/>
        </w:rPr>
        <w:t>MODESTLY WEAKENED</w:t>
      </w:r>
    </w:p>
    <w:p>
      <w:pPr>
        <w:spacing w:after="200"/>
      </w:pPr>
      <w:r>
        <w:rPr>
          <w:rFonts w:ascii="Times New Roman" w:hAnsi="Times New Roman"/>
          <w:b w:val="0"/>
          <w:i w:val="0"/>
          <w:color w:val="000000"/>
          <w:sz w:val="20"/>
        </w:rPr>
        <w:t>Full-year gross margin compressed 40 bps to 60.1% despite RGM efforts, as raw material inflation and tariffs offset productivity gains. However, Q4 showed +80 bps sequential improvement, and management guided to expansion in 2026. The trajectory is recovering but the magnitude of expansion may be more modest than previously expected.</w:t>
      </w:r>
    </w:p>
    <w:p>
      <w:pPr>
        <w:spacing w:after="40"/>
      </w:pPr>
      <w:r>
        <w:rPr>
          <w:rFonts w:ascii="Times New Roman" w:hAnsi="Times New Roman"/>
          <w:b/>
          <w:sz w:val="22"/>
        </w:rPr>
        <w:t xml:space="preserve">Hill's Pet Nutrition as Growth Driver: </w:t>
      </w:r>
      <w:r>
        <w:rPr>
          <w:rFonts w:ascii="Times New Roman" w:hAnsi="Times New Roman"/>
          <w:b/>
          <w:color w:val="777777"/>
          <w:sz w:val="22"/>
        </w:rPr>
        <w:t>UNCHANGED</w:t>
      </w:r>
    </w:p>
    <w:p>
      <w:pPr>
        <w:spacing w:after="200"/>
      </w:pPr>
      <w:r>
        <w:rPr>
          <w:rFonts w:ascii="Times New Roman" w:hAnsi="Times New Roman"/>
          <w:b w:val="0"/>
          <w:i w:val="0"/>
          <w:color w:val="000000"/>
          <w:sz w:val="20"/>
        </w:rPr>
        <w:t>Hill's grew &gt;5% organically excluding private label — solid but not outstanding. Prescription Diet share gains are encouraging. The pet humanization and premiumization thesis remains intact, though the broader pet food category showed some softness. Hill's represents ~23% of revenue and likely a higher share of profit.</w:t>
      </w:r>
    </w:p>
    <w:p>
      <w:pPr>
        <w:spacing w:after="40"/>
      </w:pPr>
      <w:r>
        <w:rPr>
          <w:rFonts w:ascii="Times New Roman" w:hAnsi="Times New Roman"/>
          <w:b/>
          <w:sz w:val="22"/>
        </w:rPr>
        <w:t xml:space="preserve">Cash Generation &amp; Capital Allocation: </w:t>
      </w:r>
      <w:r>
        <w:rPr>
          <w:rFonts w:ascii="Times New Roman" w:hAnsi="Times New Roman"/>
          <w:b/>
          <w:color w:val="2ECC71"/>
          <w:sz w:val="22"/>
        </w:rPr>
        <w:t>STRENGTHENED</w:t>
      </w:r>
    </w:p>
    <w:p>
      <w:pPr>
        <w:spacing w:after="200"/>
      </w:pPr>
      <w:r>
        <w:rPr>
          <w:rFonts w:ascii="Times New Roman" w:hAnsi="Times New Roman"/>
          <w:b w:val="0"/>
          <w:i w:val="0"/>
          <w:color w:val="000000"/>
          <w:sz w:val="20"/>
        </w:rPr>
        <w:t>Record $3.6B FCF and $4.2B operating cash flow. $2.9B returned to shareholders via dividends ($1.8B) and buybacks ($1.2B). The 63-year dividend increase streak continues. FCF conversion is excellent and provides a durable floor for the stock.</w:t>
      </w:r>
    </w:p>
    <w:p>
      <w:pPr>
        <w:pStyle w:val="Heading2"/>
      </w:pPr>
      <w:r>
        <w:rPr>
          <w:rFonts w:ascii="Times New Roman" w:hAnsi="Times New Roman"/>
          <w:color w:val="17365D"/>
        </w:rPr>
        <w:t>Key Risks</w:t>
      </w:r>
    </w:p>
    <w:p>
      <w:pPr>
        <w:pStyle w:val="ListBullet"/>
      </w:pPr>
      <w:r>
        <w:rPr>
          <w:rFonts w:ascii="Times New Roman" w:hAnsi="Times New Roman"/>
          <w:b/>
          <w:sz w:val="22"/>
        </w:rPr>
        <w:t xml:space="preserve">Category Softness: </w:t>
      </w:r>
      <w:r>
        <w:rPr>
          <w:rFonts w:ascii="Times New Roman" w:hAnsi="Times New Roman"/>
          <w:sz w:val="22"/>
        </w:rPr>
        <w:t>9-10 categories with negative volumes in North America; soft global category growth (~1.5-2.5% vs. historical 4-5%)</w:t>
      </w:r>
    </w:p>
    <w:p>
      <w:pPr>
        <w:pStyle w:val="ListBullet"/>
      </w:pPr>
      <w:r>
        <w:rPr>
          <w:rFonts w:ascii="Times New Roman" w:hAnsi="Times New Roman"/>
          <w:b/>
          <w:sz w:val="22"/>
        </w:rPr>
        <w:t xml:space="preserve">Input Cost Inflation: </w:t>
      </w:r>
      <w:r>
        <w:rPr>
          <w:rFonts w:ascii="Times New Roman" w:hAnsi="Times New Roman"/>
          <w:sz w:val="22"/>
        </w:rPr>
        <w:t>Tariffs and raw material inflation could pressure gross margins despite productivity efforts</w:t>
      </w:r>
    </w:p>
    <w:p>
      <w:pPr>
        <w:pStyle w:val="ListBullet"/>
      </w:pPr>
      <w:r>
        <w:rPr>
          <w:rFonts w:ascii="Times New Roman" w:hAnsi="Times New Roman"/>
          <w:b/>
          <w:sz w:val="22"/>
        </w:rPr>
        <w:t xml:space="preserve">Filorga Overhang: </w:t>
      </w:r>
      <w:r>
        <w:rPr>
          <w:rFonts w:ascii="Times New Roman" w:hAnsi="Times New Roman"/>
          <w:sz w:val="22"/>
        </w:rPr>
        <w:t>$794M Filorga write-down raises questions about the skin health strategy and M&amp;A discipline</w:t>
      </w:r>
    </w:p>
    <w:p>
      <w:pPr>
        <w:pStyle w:val="ListBullet"/>
      </w:pPr>
      <w:r>
        <w:rPr>
          <w:rFonts w:ascii="Times New Roman" w:hAnsi="Times New Roman"/>
          <w:b/>
          <w:sz w:val="22"/>
        </w:rPr>
        <w:t xml:space="preserve">EM Currency/Pricing Risk: </w:t>
      </w:r>
      <w:r>
        <w:rPr>
          <w:rFonts w:ascii="Times New Roman" w:hAnsi="Times New Roman"/>
          <w:sz w:val="22"/>
        </w:rPr>
        <w:t>Emerging market growth depends on continued pricing power in inflationary environments</w:t>
      </w:r>
    </w:p>
    <w:p>
      <w:pPr>
        <w:pStyle w:val="ListBullet"/>
      </w:pPr>
      <w:r>
        <w:rPr>
          <w:rFonts w:ascii="Times New Roman" w:hAnsi="Times New Roman"/>
          <w:b/>
          <w:sz w:val="22"/>
        </w:rPr>
        <w:t xml:space="preserve">Valuation: </w:t>
      </w:r>
      <w:r>
        <w:rPr>
          <w:rFonts w:ascii="Times New Roman" w:hAnsi="Times New Roman"/>
          <w:sz w:val="22"/>
        </w:rPr>
        <w:t>Stock has rallied ~11% post-earnings; forward P/E of 23.5x is in line with PG but above KMB/HENKY</w:t>
      </w:r>
    </w:p>
    <w:p>
      <w:pPr>
        <w:jc w:val="center"/>
      </w:pPr>
      <w:r>
        <w:drawing>
          <wp:inline xmlns:a="http://schemas.openxmlformats.org/drawingml/2006/main" xmlns:pic="http://schemas.openxmlformats.org/drawingml/2006/picture">
            <wp:extent cx="5029200" cy="3686382"/>
            <wp:docPr id="9" name="Picture 9"/>
            <wp:cNvGraphicFramePr>
              <a:graphicFrameLocks noChangeAspect="1"/>
            </wp:cNvGraphicFramePr>
            <a:graphic>
              <a:graphicData uri="http://schemas.openxmlformats.org/drawingml/2006/picture">
                <pic:pic>
                  <pic:nvPicPr>
                    <pic:cNvPr id="0" name="chart9_acceleration.png"/>
                    <pic:cNvPicPr/>
                  </pic:nvPicPr>
                  <pic:blipFill>
                    <a:blip r:embed="rId17"/>
                    <a:stretch>
                      <a:fillRect/>
                    </a:stretch>
                  </pic:blipFill>
                  <pic:spPr>
                    <a:xfrm>
                      <a:off x="0" y="0"/>
                      <a:ext cx="5029200" cy="3686382"/>
                    </a:xfrm>
                    <a:prstGeom prst="rect"/>
                  </pic:spPr>
                </pic:pic>
              </a:graphicData>
            </a:graphic>
          </wp:inline>
        </w:drawing>
      </w:r>
    </w:p>
    <w:p>
      <w:pPr>
        <w:spacing w:after="240"/>
        <w:jc w:val="center"/>
      </w:pPr>
      <w:r>
        <w:rPr>
          <w:rFonts w:ascii="Times New Roman" w:hAnsi="Times New Roman"/>
          <w:b w:val="0"/>
          <w:i/>
          <w:color w:val="777777"/>
          <w:sz w:val="18"/>
        </w:rPr>
        <w:t>Figure 9: Organic Growth Acceleration Q3 → Q4 — Broad-Based Improvement</w:t>
      </w:r>
    </w:p>
    <w:p>
      <w:r>
        <w:br w:type="page"/>
      </w:r>
    </w:p>
    <w:p>
      <w:pPr>
        <w:pStyle w:val="Heading1"/>
      </w:pPr>
      <w:r>
        <w:rPr>
          <w:rFonts w:ascii="Times New Roman" w:hAnsi="Times New Roman"/>
          <w:color w:val="17365D"/>
        </w:rPr>
        <w:t>Valuation &amp; Estimates</w:t>
      </w:r>
    </w:p>
    <w:p>
      <w:pPr>
        <w:pStyle w:val="Heading2"/>
      </w:pPr>
      <w:r>
        <w:rPr>
          <w:rFonts w:ascii="Times New Roman" w:hAnsi="Times New Roman"/>
          <w:color w:val="17365D"/>
        </w:rPr>
        <w:t>Peer Valuation Comparison</w:t>
      </w:r>
    </w:p>
    <w:p>
      <w:pPr>
        <w:spacing w:after="120"/>
      </w:pPr>
      <w:r>
        <w:rPr>
          <w:rFonts w:ascii="Times New Roman" w:hAnsi="Times New Roman"/>
          <w:b w:val="0"/>
          <w:i w:val="0"/>
          <w:color w:val="000000"/>
          <w:sz w:val="22"/>
        </w:rPr>
        <w:t>CL trades at 23.5x forward P/E, roughly in line with Procter &amp; Gamble (22.0x) and below Church &amp; Dwight (27.6x). This represents a premium to European peers Henkel (13.0x) and Kimberly-Clark (12.6x), justified by CL's superior organic growth profile, global scale, and category leadership in oral care. The premium appears reasonable but not cheap at these levels.</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20"/>
              </w:rPr>
              <w:t>Company</w:t>
            </w:r>
          </w:p>
        </w:tc>
        <w:tc>
          <w:tcPr>
            <w:tcW w:type="dxa" w:w="1568"/>
          </w:tcPr>
          <w:p>
            <w:pPr>
              <w:jc w:val="center"/>
            </w:pPr>
            <w:r>
              <w:rPr>
                <w:rFonts w:ascii="Times New Roman" w:hAnsi="Times New Roman"/>
                <w:b/>
                <w:sz w:val="20"/>
              </w:rPr>
              <w:t>Market Cap</w:t>
            </w:r>
          </w:p>
        </w:tc>
        <w:tc>
          <w:tcPr>
            <w:tcW w:type="dxa" w:w="1568"/>
          </w:tcPr>
          <w:p>
            <w:pPr>
              <w:jc w:val="center"/>
            </w:pPr>
            <w:r>
              <w:rPr>
                <w:rFonts w:ascii="Times New Roman" w:hAnsi="Times New Roman"/>
                <w:b/>
                <w:sz w:val="20"/>
              </w:rPr>
              <w:t>Forward P/E</w:t>
            </w:r>
          </w:p>
        </w:tc>
        <w:tc>
          <w:tcPr>
            <w:tcW w:type="dxa" w:w="1568"/>
          </w:tcPr>
          <w:p>
            <w:pPr>
              <w:jc w:val="center"/>
            </w:pPr>
            <w:r>
              <w:rPr>
                <w:rFonts w:ascii="Times New Roman" w:hAnsi="Times New Roman"/>
                <w:b/>
                <w:sz w:val="20"/>
              </w:rPr>
              <w:t>EV/EBITDA</w:t>
            </w:r>
          </w:p>
        </w:tc>
        <w:tc>
          <w:tcPr>
            <w:tcW w:type="dxa" w:w="1568"/>
          </w:tcPr>
          <w:p>
            <w:pPr>
              <w:jc w:val="center"/>
            </w:pPr>
            <w:r>
              <w:rPr>
                <w:rFonts w:ascii="Times New Roman" w:hAnsi="Times New Roman"/>
                <w:b/>
                <w:sz w:val="20"/>
              </w:rPr>
              <w:t>Organic Growth</w:t>
            </w:r>
          </w:p>
        </w:tc>
        <w:tc>
          <w:tcPr>
            <w:tcW w:type="dxa" w:w="1568"/>
          </w:tcPr>
          <w:p>
            <w:pPr>
              <w:jc w:val="center"/>
            </w:pPr>
            <w:r>
              <w:rPr>
                <w:rFonts w:ascii="Times New Roman" w:hAnsi="Times New Roman"/>
                <w:b/>
                <w:sz w:val="20"/>
              </w:rPr>
              <w:t>Gross Margin</w:t>
            </w:r>
          </w:p>
        </w:tc>
      </w:tr>
      <w:tr>
        <w:tc>
          <w:tcPr>
            <w:tcW w:type="dxa" w:w="1568"/>
          </w:tcPr>
          <w:p>
            <w:pPr>
              <w:jc w:val="left"/>
            </w:pPr>
            <w:r>
              <w:rPr>
                <w:rFonts w:ascii="Times New Roman" w:hAnsi="Times New Roman"/>
                <w:sz w:val="20"/>
              </w:rPr>
              <w:t>Colgate-Palmolive (CL)</w:t>
            </w:r>
          </w:p>
        </w:tc>
        <w:tc>
          <w:tcPr>
            <w:tcW w:type="dxa" w:w="1568"/>
          </w:tcPr>
          <w:p>
            <w:pPr>
              <w:jc w:val="center"/>
            </w:pPr>
            <w:r>
              <w:rPr>
                <w:rFonts w:ascii="Times New Roman" w:hAnsi="Times New Roman"/>
                <w:sz w:val="20"/>
              </w:rPr>
              <w:t>$75.0B</w:t>
            </w:r>
          </w:p>
        </w:tc>
        <w:tc>
          <w:tcPr>
            <w:tcW w:type="dxa" w:w="1568"/>
          </w:tcPr>
          <w:p>
            <w:pPr>
              <w:jc w:val="center"/>
            </w:pPr>
            <w:r>
              <w:rPr>
                <w:rFonts w:ascii="Times New Roman" w:hAnsi="Times New Roman"/>
                <w:sz w:val="20"/>
              </w:rPr>
              <w:t>23.5x</w:t>
            </w:r>
          </w:p>
        </w:tc>
        <w:tc>
          <w:tcPr>
            <w:tcW w:type="dxa" w:w="1568"/>
          </w:tcPr>
          <w:p>
            <w:pPr>
              <w:jc w:val="center"/>
            </w:pPr>
            <w:r>
              <w:rPr>
                <w:rFonts w:ascii="Times New Roman" w:hAnsi="Times New Roman"/>
                <w:sz w:val="20"/>
              </w:rPr>
              <w:t>15.6x</w:t>
            </w:r>
          </w:p>
        </w:tc>
        <w:tc>
          <w:tcPr>
            <w:tcW w:type="dxa" w:w="1568"/>
          </w:tcPr>
          <w:p>
            <w:pPr>
              <w:jc w:val="center"/>
            </w:pPr>
            <w:r>
              <w:rPr>
                <w:rFonts w:ascii="Times New Roman" w:hAnsi="Times New Roman"/>
                <w:sz w:val="20"/>
              </w:rPr>
              <w:t>+2.2%</w:t>
            </w:r>
          </w:p>
        </w:tc>
        <w:tc>
          <w:tcPr>
            <w:tcW w:type="dxa" w:w="1568"/>
          </w:tcPr>
          <w:p>
            <w:pPr>
              <w:jc w:val="center"/>
            </w:pPr>
            <w:r>
              <w:rPr>
                <w:rFonts w:ascii="Times New Roman" w:hAnsi="Times New Roman"/>
                <w:sz w:val="20"/>
              </w:rPr>
              <w:t>60.2%</w:t>
            </w:r>
          </w:p>
        </w:tc>
      </w:tr>
      <w:tr>
        <w:tc>
          <w:tcPr>
            <w:tcW w:type="dxa" w:w="1568"/>
          </w:tcPr>
          <w:p>
            <w:pPr>
              <w:jc w:val="left"/>
            </w:pPr>
            <w:r>
              <w:rPr>
                <w:rFonts w:ascii="Times New Roman" w:hAnsi="Times New Roman"/>
                <w:sz w:val="20"/>
              </w:rPr>
              <w:t>Procter &amp; Gamble (PG)</w:t>
            </w:r>
          </w:p>
        </w:tc>
        <w:tc>
          <w:tcPr>
            <w:tcW w:type="dxa" w:w="1568"/>
          </w:tcPr>
          <w:p>
            <w:pPr>
              <w:jc w:val="center"/>
            </w:pPr>
            <w:r>
              <w:rPr>
                <w:rFonts w:ascii="Times New Roman" w:hAnsi="Times New Roman"/>
                <w:sz w:val="20"/>
              </w:rPr>
              <w:t>$390.7B</w:t>
            </w:r>
          </w:p>
        </w:tc>
        <w:tc>
          <w:tcPr>
            <w:tcW w:type="dxa" w:w="1568"/>
          </w:tcPr>
          <w:p>
            <w:pPr>
              <w:jc w:val="center"/>
            </w:pPr>
            <w:r>
              <w:rPr>
                <w:rFonts w:ascii="Times New Roman" w:hAnsi="Times New Roman"/>
                <w:sz w:val="20"/>
              </w:rPr>
              <w:t>22.0x</w:t>
            </w:r>
          </w:p>
        </w:tc>
        <w:tc>
          <w:tcPr>
            <w:tcW w:type="dxa" w:w="1568"/>
          </w:tcPr>
          <w:p>
            <w:pPr>
              <w:jc w:val="center"/>
            </w:pPr>
            <w:r>
              <w:rPr>
                <w:rFonts w:ascii="Times New Roman" w:hAnsi="Times New Roman"/>
                <w:sz w:val="20"/>
              </w:rPr>
              <w:t>14.7x</w:t>
            </w:r>
          </w:p>
        </w:tc>
        <w:tc>
          <w:tcPr>
            <w:tcW w:type="dxa" w:w="1568"/>
          </w:tcPr>
          <w:p>
            <w:pPr>
              <w:jc w:val="center"/>
            </w:pPr>
            <w:r>
              <w:rPr>
                <w:rFonts w:ascii="Times New Roman" w:hAnsi="Times New Roman"/>
                <w:sz w:val="20"/>
              </w:rPr>
              <w:t>+3.0%*</w:t>
            </w:r>
          </w:p>
        </w:tc>
        <w:tc>
          <w:tcPr>
            <w:tcW w:type="dxa" w:w="1568"/>
          </w:tcPr>
          <w:p>
            <w:pPr>
              <w:jc w:val="center"/>
            </w:pPr>
            <w:r>
              <w:rPr>
                <w:rFonts w:ascii="Times New Roman" w:hAnsi="Times New Roman"/>
                <w:sz w:val="20"/>
              </w:rPr>
              <w:t>51.5%*</w:t>
            </w:r>
          </w:p>
        </w:tc>
      </w:tr>
      <w:tr>
        <w:tc>
          <w:tcPr>
            <w:tcW w:type="dxa" w:w="1568"/>
          </w:tcPr>
          <w:p>
            <w:pPr>
              <w:jc w:val="left"/>
            </w:pPr>
            <w:r>
              <w:rPr>
                <w:rFonts w:ascii="Times New Roman" w:hAnsi="Times New Roman"/>
                <w:sz w:val="20"/>
              </w:rPr>
              <w:t>Church &amp; Dwight (CHD)</w:t>
            </w:r>
          </w:p>
        </w:tc>
        <w:tc>
          <w:tcPr>
            <w:tcW w:type="dxa" w:w="1568"/>
          </w:tcPr>
          <w:p>
            <w:pPr>
              <w:jc w:val="center"/>
            </w:pPr>
            <w:r>
              <w:rPr>
                <w:rFonts w:ascii="Times New Roman" w:hAnsi="Times New Roman"/>
                <w:sz w:val="20"/>
              </w:rPr>
              <w:t>$24.5B</w:t>
            </w:r>
          </w:p>
        </w:tc>
        <w:tc>
          <w:tcPr>
            <w:tcW w:type="dxa" w:w="1568"/>
          </w:tcPr>
          <w:p>
            <w:pPr>
              <w:jc w:val="center"/>
            </w:pPr>
            <w:r>
              <w:rPr>
                <w:rFonts w:ascii="Times New Roman" w:hAnsi="Times New Roman"/>
                <w:sz w:val="20"/>
              </w:rPr>
              <w:t>27.6x</w:t>
            </w:r>
          </w:p>
        </w:tc>
        <w:tc>
          <w:tcPr>
            <w:tcW w:type="dxa" w:w="1568"/>
          </w:tcPr>
          <w:p>
            <w:pPr>
              <w:jc w:val="center"/>
            </w:pPr>
            <w:r>
              <w:rPr>
                <w:rFonts w:ascii="Times New Roman" w:hAnsi="Times New Roman"/>
                <w:sz w:val="20"/>
              </w:rPr>
              <w:t>19.2x</w:t>
            </w:r>
          </w:p>
        </w:tc>
        <w:tc>
          <w:tcPr>
            <w:tcW w:type="dxa" w:w="1568"/>
          </w:tcPr>
          <w:p>
            <w:pPr>
              <w:jc w:val="center"/>
            </w:pPr>
            <w:r>
              <w:rPr>
                <w:rFonts w:ascii="Times New Roman" w:hAnsi="Times New Roman"/>
                <w:sz w:val="20"/>
              </w:rPr>
              <w:t>+4.5%*</w:t>
            </w:r>
          </w:p>
        </w:tc>
        <w:tc>
          <w:tcPr>
            <w:tcW w:type="dxa" w:w="1568"/>
          </w:tcPr>
          <w:p>
            <w:pPr>
              <w:jc w:val="center"/>
            </w:pPr>
            <w:r>
              <w:rPr>
                <w:rFonts w:ascii="Times New Roman" w:hAnsi="Times New Roman"/>
                <w:sz w:val="20"/>
              </w:rPr>
              <w:t>46.0%*</w:t>
            </w:r>
          </w:p>
        </w:tc>
      </w:tr>
      <w:tr>
        <w:tc>
          <w:tcPr>
            <w:tcW w:type="dxa" w:w="1568"/>
          </w:tcPr>
          <w:p>
            <w:pPr>
              <w:jc w:val="left"/>
            </w:pPr>
            <w:r>
              <w:rPr>
                <w:rFonts w:ascii="Times New Roman" w:hAnsi="Times New Roman"/>
                <w:sz w:val="20"/>
              </w:rPr>
              <w:t>Kimberly-Clark (KMB)</w:t>
            </w:r>
          </w:p>
        </w:tc>
        <w:tc>
          <w:tcPr>
            <w:tcW w:type="dxa" w:w="1568"/>
          </w:tcPr>
          <w:p>
            <w:pPr>
              <w:jc w:val="center"/>
            </w:pPr>
            <w:r>
              <w:rPr>
                <w:rFonts w:ascii="Times New Roman" w:hAnsi="Times New Roman"/>
                <w:sz w:val="20"/>
              </w:rPr>
              <w:t>$34.5B</w:t>
            </w:r>
          </w:p>
        </w:tc>
        <w:tc>
          <w:tcPr>
            <w:tcW w:type="dxa" w:w="1568"/>
          </w:tcPr>
          <w:p>
            <w:pPr>
              <w:jc w:val="center"/>
            </w:pPr>
            <w:r>
              <w:rPr>
                <w:rFonts w:ascii="Times New Roman" w:hAnsi="Times New Roman"/>
                <w:sz w:val="20"/>
              </w:rPr>
              <w:t>12.6x</w:t>
            </w:r>
          </w:p>
        </w:tc>
        <w:tc>
          <w:tcPr>
            <w:tcW w:type="dxa" w:w="1568"/>
          </w:tcPr>
          <w:p>
            <w:pPr>
              <w:jc w:val="center"/>
            </w:pPr>
            <w:r>
              <w:rPr>
                <w:rFonts w:ascii="Times New Roman" w:hAnsi="Times New Roman"/>
                <w:sz w:val="20"/>
              </w:rPr>
              <w:t>10.1x</w:t>
            </w:r>
          </w:p>
        </w:tc>
        <w:tc>
          <w:tcPr>
            <w:tcW w:type="dxa" w:w="1568"/>
          </w:tcPr>
          <w:p>
            <w:pPr>
              <w:jc w:val="center"/>
            </w:pPr>
            <w:r>
              <w:rPr>
                <w:rFonts w:ascii="Times New Roman" w:hAnsi="Times New Roman"/>
                <w:sz w:val="20"/>
              </w:rPr>
              <w:t>+1.5%*</w:t>
            </w:r>
          </w:p>
        </w:tc>
        <w:tc>
          <w:tcPr>
            <w:tcW w:type="dxa" w:w="1568"/>
          </w:tcPr>
          <w:p>
            <w:pPr>
              <w:jc w:val="center"/>
            </w:pPr>
            <w:r>
              <w:rPr>
                <w:rFonts w:ascii="Times New Roman" w:hAnsi="Times New Roman"/>
                <w:sz w:val="20"/>
              </w:rPr>
              <w:t>37.0%*</w:t>
            </w:r>
          </w:p>
        </w:tc>
      </w:tr>
      <w:tr>
        <w:tc>
          <w:tcPr>
            <w:tcW w:type="dxa" w:w="1568"/>
          </w:tcPr>
          <w:p>
            <w:pPr>
              <w:jc w:val="left"/>
            </w:pPr>
            <w:r>
              <w:rPr>
                <w:rFonts w:ascii="Times New Roman" w:hAnsi="Times New Roman"/>
                <w:sz w:val="20"/>
              </w:rPr>
              <w:t>Henkel (HENKY)</w:t>
            </w:r>
          </w:p>
        </w:tc>
        <w:tc>
          <w:tcPr>
            <w:tcW w:type="dxa" w:w="1568"/>
          </w:tcPr>
          <w:p>
            <w:pPr>
              <w:jc w:val="center"/>
            </w:pPr>
            <w:r>
              <w:rPr>
                <w:rFonts w:ascii="Times New Roman" w:hAnsi="Times New Roman"/>
                <w:sz w:val="20"/>
              </w:rPr>
              <w:t>$34.5B</w:t>
            </w:r>
          </w:p>
        </w:tc>
        <w:tc>
          <w:tcPr>
            <w:tcW w:type="dxa" w:w="1568"/>
          </w:tcPr>
          <w:p>
            <w:pPr>
              <w:jc w:val="center"/>
            </w:pPr>
            <w:r>
              <w:rPr>
                <w:rFonts w:ascii="Times New Roman" w:hAnsi="Times New Roman"/>
                <w:sz w:val="20"/>
              </w:rPr>
              <w:t>13.0x</w:t>
            </w:r>
          </w:p>
        </w:tc>
        <w:tc>
          <w:tcPr>
            <w:tcW w:type="dxa" w:w="1568"/>
          </w:tcPr>
          <w:p>
            <w:pPr>
              <w:jc w:val="center"/>
            </w:pPr>
            <w:r>
              <w:rPr>
                <w:rFonts w:ascii="Times New Roman" w:hAnsi="Times New Roman"/>
                <w:sz w:val="20"/>
              </w:rPr>
              <w:t>8.7x</w:t>
            </w:r>
          </w:p>
        </w:tc>
        <w:tc>
          <w:tcPr>
            <w:tcW w:type="dxa" w:w="1568"/>
          </w:tcPr>
          <w:p>
            <w:pPr>
              <w:jc w:val="center"/>
            </w:pPr>
            <w:r>
              <w:rPr>
                <w:rFonts w:ascii="Times New Roman" w:hAnsi="Times New Roman"/>
                <w:sz w:val="20"/>
              </w:rPr>
              <w:t>+2.0%*</w:t>
            </w:r>
          </w:p>
        </w:tc>
        <w:tc>
          <w:tcPr>
            <w:tcW w:type="dxa" w:w="1568"/>
          </w:tcPr>
          <w:p>
            <w:pPr>
              <w:jc w:val="center"/>
            </w:pPr>
            <w:r>
              <w:rPr>
                <w:rFonts w:ascii="Times New Roman" w:hAnsi="Times New Roman"/>
                <w:sz w:val="20"/>
              </w:rPr>
              <w:t>48.0%*</w:t>
            </w:r>
          </w:p>
        </w:tc>
      </w:tr>
      <w:tr>
        <w:tc>
          <w:tcPr>
            <w:tcW w:type="dxa" w:w="1568"/>
          </w:tcPr>
          <w:p>
            <w:pPr>
              <w:jc w:val="left"/>
            </w:pPr>
            <w:r>
              <w:rPr>
                <w:rFonts w:ascii="Times New Roman" w:hAnsi="Times New Roman"/>
                <w:sz w:val="20"/>
              </w:rPr>
              <w:t>Peer Median</w:t>
            </w:r>
          </w:p>
        </w:tc>
        <w:tc>
          <w:tcPr>
            <w:tcW w:type="dxa" w:w="1568"/>
          </w:tcPr>
          <w:p>
            <w:pPr>
              <w:jc w:val="center"/>
            </w:pPr>
            <w:r>
              <w:rPr>
                <w:rFonts w:ascii="Times New Roman" w:hAnsi="Times New Roman"/>
                <w:sz w:val="20"/>
              </w:rPr>
            </w:r>
          </w:p>
        </w:tc>
        <w:tc>
          <w:tcPr>
            <w:tcW w:type="dxa" w:w="1568"/>
          </w:tcPr>
          <w:p>
            <w:pPr>
              <w:jc w:val="center"/>
            </w:pPr>
            <w:r>
              <w:rPr>
                <w:rFonts w:ascii="Times New Roman" w:hAnsi="Times New Roman"/>
                <w:sz w:val="20"/>
              </w:rPr>
              <w:t>17.3x</w:t>
            </w:r>
          </w:p>
        </w:tc>
        <w:tc>
          <w:tcPr>
            <w:tcW w:type="dxa" w:w="1568"/>
          </w:tcPr>
          <w:p>
            <w:pPr>
              <w:jc w:val="center"/>
            </w:pPr>
            <w:r>
              <w:rPr>
                <w:rFonts w:ascii="Times New Roman" w:hAnsi="Times New Roman"/>
                <w:sz w:val="20"/>
              </w:rPr>
              <w:t>12.4x</w:t>
            </w:r>
          </w:p>
        </w:tc>
        <w:tc>
          <w:tcPr>
            <w:tcW w:type="dxa" w:w="1568"/>
          </w:tcPr>
          <w:p>
            <w:pPr>
              <w:jc w:val="center"/>
            </w:pPr>
            <w:r>
              <w:rPr>
                <w:rFonts w:ascii="Times New Roman" w:hAnsi="Times New Roman"/>
                <w:sz w:val="20"/>
              </w:rPr>
            </w:r>
          </w:p>
        </w:tc>
        <w:tc>
          <w:tcPr>
            <w:tcW w:type="dxa" w:w="1568"/>
          </w:tcPr>
          <w:p>
            <w:pPr>
              <w:jc w:val="center"/>
            </w:pPr>
            <w:r>
              <w:rPr>
                <w:rFonts w:ascii="Times New Roman" w:hAnsi="Times New Roman"/>
                <w:sz w:val="20"/>
              </w:rPr>
            </w:r>
          </w:p>
        </w:tc>
      </w:tr>
    </w:tbl>
    <w:p>
      <w:pPr>
        <w:spacing w:after="240"/>
      </w:pPr>
      <w:r>
        <w:rPr>
          <w:rFonts w:ascii="Times New Roman" w:hAnsi="Times New Roman"/>
          <w:b w:val="0"/>
          <w:i/>
          <w:color w:val="777777"/>
          <w:sz w:val="16"/>
        </w:rPr>
        <w:t>Source: Yahoo Finance, StockAnalysis.com (March 2026). *Estimated from most recent reported quarter.</w:t>
      </w:r>
    </w:p>
    <w:p>
      <w:pPr>
        <w:jc w:val="center"/>
      </w:pPr>
      <w:r>
        <w:drawing>
          <wp:inline xmlns:a="http://schemas.openxmlformats.org/drawingml/2006/main" xmlns:pic="http://schemas.openxmlformats.org/drawingml/2006/picture">
            <wp:extent cx="5029200" cy="3623456"/>
            <wp:docPr id="10" name="Picture 10"/>
            <wp:cNvGraphicFramePr>
              <a:graphicFrameLocks noChangeAspect="1"/>
            </wp:cNvGraphicFramePr>
            <a:graphic>
              <a:graphicData uri="http://schemas.openxmlformats.org/drawingml/2006/picture">
                <pic:pic>
                  <pic:nvPicPr>
                    <pic:cNvPr id="0" name="chart11_peer_pe.png"/>
                    <pic:cNvPicPr/>
                  </pic:nvPicPr>
                  <pic:blipFill>
                    <a:blip r:embed="rId18"/>
                    <a:stretch>
                      <a:fillRect/>
                    </a:stretch>
                  </pic:blipFill>
                  <pic:spPr>
                    <a:xfrm>
                      <a:off x="0" y="0"/>
                      <a:ext cx="5029200" cy="3623456"/>
                    </a:xfrm>
                    <a:prstGeom prst="rect"/>
                  </pic:spPr>
                </pic:pic>
              </a:graphicData>
            </a:graphic>
          </wp:inline>
        </w:drawing>
      </w:r>
    </w:p>
    <w:p>
      <w:pPr>
        <w:spacing w:after="240"/>
        <w:jc w:val="center"/>
      </w:pPr>
      <w:r>
        <w:rPr>
          <w:rFonts w:ascii="Times New Roman" w:hAnsi="Times New Roman"/>
          <w:b w:val="0"/>
          <w:i/>
          <w:color w:val="777777"/>
          <w:sz w:val="18"/>
        </w:rPr>
        <w:t>Figure 10: Forward P/E — CL Trades at a Premium, Justified by Growth and Category Position</w:t>
      </w:r>
    </w:p>
    <w:p>
      <w:pPr>
        <w:pStyle w:val="Heading2"/>
      </w:pPr>
      <w:r>
        <w:rPr>
          <w:rFonts w:ascii="Times New Roman" w:hAnsi="Times New Roman"/>
          <w:color w:val="17365D"/>
        </w:rPr>
        <w:t>Price Target Methodology</w:t>
      </w:r>
    </w:p>
    <w:p>
      <w:pPr>
        <w:spacing w:after="120"/>
      </w:pPr>
      <w:r>
        <w:rPr>
          <w:rFonts w:ascii="Times New Roman" w:hAnsi="Times New Roman"/>
          <w:b w:val="0"/>
          <w:i w:val="0"/>
          <w:color w:val="000000"/>
          <w:sz w:val="22"/>
        </w:rPr>
        <w:t>Our $100 price target is derived from a blended approach:</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0"/>
              </w:rPr>
              <w:t>Methodology</w:t>
            </w:r>
          </w:p>
        </w:tc>
        <w:tc>
          <w:tcPr>
            <w:tcW w:type="dxa" w:w="2351"/>
          </w:tcPr>
          <w:p>
            <w:pPr>
              <w:jc w:val="center"/>
            </w:pPr>
            <w:r>
              <w:rPr>
                <w:rFonts w:ascii="Times New Roman" w:hAnsi="Times New Roman"/>
                <w:b/>
                <w:sz w:val="20"/>
              </w:rPr>
              <w:t>Implied Value</w:t>
            </w:r>
          </w:p>
        </w:tc>
        <w:tc>
          <w:tcPr>
            <w:tcW w:type="dxa" w:w="2351"/>
          </w:tcPr>
          <w:p>
            <w:pPr>
              <w:jc w:val="center"/>
            </w:pPr>
            <w:r>
              <w:rPr>
                <w:rFonts w:ascii="Times New Roman" w:hAnsi="Times New Roman"/>
                <w:b/>
                <w:sz w:val="20"/>
              </w:rPr>
              <w:t>Weight</w:t>
            </w:r>
          </w:p>
        </w:tc>
        <w:tc>
          <w:tcPr>
            <w:tcW w:type="dxa" w:w="2351"/>
          </w:tcPr>
          <w:p>
            <w:pPr>
              <w:jc w:val="center"/>
            </w:pPr>
            <w:r>
              <w:rPr>
                <w:rFonts w:ascii="Times New Roman" w:hAnsi="Times New Roman"/>
                <w:b/>
                <w:sz w:val="20"/>
              </w:rPr>
              <w:t>Contribution</w:t>
            </w:r>
          </w:p>
        </w:tc>
      </w:tr>
      <w:tr>
        <w:tc>
          <w:tcPr>
            <w:tcW w:type="dxa" w:w="2351"/>
          </w:tcPr>
          <w:p>
            <w:pPr>
              <w:jc w:val="left"/>
            </w:pPr>
            <w:r>
              <w:rPr>
                <w:rFonts w:ascii="Times New Roman" w:hAnsi="Times New Roman"/>
                <w:sz w:val="20"/>
              </w:rPr>
              <w:t>Forward P/E (25x FY2026E EPS of $3.99)</w:t>
            </w:r>
          </w:p>
        </w:tc>
        <w:tc>
          <w:tcPr>
            <w:tcW w:type="dxa" w:w="2351"/>
          </w:tcPr>
          <w:p>
            <w:pPr>
              <w:jc w:val="center"/>
            </w:pPr>
            <w:r>
              <w:rPr>
                <w:rFonts w:ascii="Times New Roman" w:hAnsi="Times New Roman"/>
                <w:sz w:val="20"/>
              </w:rPr>
              <w:t>$99.75</w:t>
            </w:r>
          </w:p>
        </w:tc>
        <w:tc>
          <w:tcPr>
            <w:tcW w:type="dxa" w:w="2351"/>
          </w:tcPr>
          <w:p>
            <w:pPr>
              <w:jc w:val="center"/>
            </w:pPr>
            <w:r>
              <w:rPr>
                <w:rFonts w:ascii="Times New Roman" w:hAnsi="Times New Roman"/>
                <w:sz w:val="20"/>
              </w:rPr>
              <w:t>50%</w:t>
            </w:r>
          </w:p>
        </w:tc>
        <w:tc>
          <w:tcPr>
            <w:tcW w:type="dxa" w:w="2351"/>
          </w:tcPr>
          <w:p>
            <w:pPr>
              <w:jc w:val="center"/>
            </w:pPr>
            <w:r>
              <w:rPr>
                <w:rFonts w:ascii="Times New Roman" w:hAnsi="Times New Roman"/>
                <w:sz w:val="20"/>
              </w:rPr>
              <w:t>$49.88</w:t>
            </w:r>
          </w:p>
        </w:tc>
      </w:tr>
      <w:tr>
        <w:tc>
          <w:tcPr>
            <w:tcW w:type="dxa" w:w="2351"/>
          </w:tcPr>
          <w:p>
            <w:pPr>
              <w:jc w:val="left"/>
            </w:pPr>
            <w:r>
              <w:rPr>
                <w:rFonts w:ascii="Times New Roman" w:hAnsi="Times New Roman"/>
                <w:sz w:val="20"/>
              </w:rPr>
              <w:t>EV/EBITDA (16x, slight premium to peers)</w:t>
            </w:r>
          </w:p>
        </w:tc>
        <w:tc>
          <w:tcPr>
            <w:tcW w:type="dxa" w:w="2351"/>
          </w:tcPr>
          <w:p>
            <w:pPr>
              <w:jc w:val="center"/>
            </w:pPr>
            <w:r>
              <w:rPr>
                <w:rFonts w:ascii="Times New Roman" w:hAnsi="Times New Roman"/>
                <w:sz w:val="20"/>
              </w:rPr>
              <w:t>$98.00</w:t>
            </w:r>
          </w:p>
        </w:tc>
        <w:tc>
          <w:tcPr>
            <w:tcW w:type="dxa" w:w="2351"/>
          </w:tcPr>
          <w:p>
            <w:pPr>
              <w:jc w:val="center"/>
            </w:pPr>
            <w:r>
              <w:rPr>
                <w:rFonts w:ascii="Times New Roman" w:hAnsi="Times New Roman"/>
                <w:sz w:val="20"/>
              </w:rPr>
              <w:t>25%</w:t>
            </w:r>
          </w:p>
        </w:tc>
        <w:tc>
          <w:tcPr>
            <w:tcW w:type="dxa" w:w="2351"/>
          </w:tcPr>
          <w:p>
            <w:pPr>
              <w:jc w:val="center"/>
            </w:pPr>
            <w:r>
              <w:rPr>
                <w:rFonts w:ascii="Times New Roman" w:hAnsi="Times New Roman"/>
                <w:sz w:val="20"/>
              </w:rPr>
              <w:t>$24.50</w:t>
            </w:r>
          </w:p>
        </w:tc>
      </w:tr>
      <w:tr>
        <w:tc>
          <w:tcPr>
            <w:tcW w:type="dxa" w:w="2351"/>
          </w:tcPr>
          <w:p>
            <w:pPr>
              <w:jc w:val="left"/>
            </w:pPr>
            <w:r>
              <w:rPr>
                <w:rFonts w:ascii="Times New Roman" w:hAnsi="Times New Roman"/>
                <w:sz w:val="20"/>
              </w:rPr>
              <w:t>DCF (WACC 8.5%, terminal growth 2.5%)</w:t>
            </w:r>
          </w:p>
        </w:tc>
        <w:tc>
          <w:tcPr>
            <w:tcW w:type="dxa" w:w="2351"/>
          </w:tcPr>
          <w:p>
            <w:pPr>
              <w:jc w:val="center"/>
            </w:pPr>
            <w:r>
              <w:rPr>
                <w:rFonts w:ascii="Times New Roman" w:hAnsi="Times New Roman"/>
                <w:sz w:val="20"/>
              </w:rPr>
              <w:t>$103.00</w:t>
            </w:r>
          </w:p>
        </w:tc>
        <w:tc>
          <w:tcPr>
            <w:tcW w:type="dxa" w:w="2351"/>
          </w:tcPr>
          <w:p>
            <w:pPr>
              <w:jc w:val="center"/>
            </w:pPr>
            <w:r>
              <w:rPr>
                <w:rFonts w:ascii="Times New Roman" w:hAnsi="Times New Roman"/>
                <w:sz w:val="20"/>
              </w:rPr>
              <w:t>25%</w:t>
            </w:r>
          </w:p>
        </w:tc>
        <w:tc>
          <w:tcPr>
            <w:tcW w:type="dxa" w:w="2351"/>
          </w:tcPr>
          <w:p>
            <w:pPr>
              <w:jc w:val="center"/>
            </w:pPr>
            <w:r>
              <w:rPr>
                <w:rFonts w:ascii="Times New Roman" w:hAnsi="Times New Roman"/>
                <w:sz w:val="20"/>
              </w:rPr>
              <w:t>$25.75</w:t>
            </w:r>
          </w:p>
        </w:tc>
      </w:tr>
      <w:tr>
        <w:tc>
          <w:tcPr>
            <w:tcW w:type="dxa" w:w="2351"/>
          </w:tcPr>
          <w:p>
            <w:pPr>
              <w:jc w:val="left"/>
            </w:pPr>
            <w:r>
              <w:rPr>
                <w:rFonts w:ascii="Times New Roman" w:hAnsi="Times New Roman"/>
                <w:sz w:val="20"/>
              </w:rPr>
              <w:t>Blended Price Target</w:t>
            </w:r>
          </w:p>
        </w:tc>
        <w:tc>
          <w:tcPr>
            <w:tcW w:type="dxa" w:w="2351"/>
          </w:tcPr>
          <w:p>
            <w:pPr>
              <w:jc w:val="center"/>
            </w:pPr>
            <w:r>
              <w:rPr>
                <w:rFonts w:ascii="Times New Roman" w:hAnsi="Times New Roman"/>
                <w:sz w:val="20"/>
              </w:rPr>
            </w:r>
          </w:p>
        </w:tc>
        <w:tc>
          <w:tcPr>
            <w:tcW w:type="dxa" w:w="2351"/>
          </w:tcPr>
          <w:p>
            <w:pPr>
              <w:jc w:val="center"/>
            </w:pPr>
            <w:r>
              <w:rPr>
                <w:rFonts w:ascii="Times New Roman" w:hAnsi="Times New Roman"/>
                <w:sz w:val="20"/>
              </w:rPr>
            </w:r>
          </w:p>
        </w:tc>
        <w:tc>
          <w:tcPr>
            <w:tcW w:type="dxa" w:w="2351"/>
          </w:tcPr>
          <w:p>
            <w:pPr>
              <w:jc w:val="center"/>
            </w:pPr>
            <w:r>
              <w:rPr>
                <w:rFonts w:ascii="Times New Roman" w:hAnsi="Times New Roman"/>
                <w:sz w:val="20"/>
              </w:rPr>
              <w:t>$100.13 → $100.00</w:t>
            </w:r>
          </w:p>
        </w:tc>
      </w:tr>
    </w:tbl>
    <w:p>
      <w:pPr>
        <w:spacing w:after="120"/>
      </w:pPr>
      <w:r>
        <w:rPr>
          <w:rFonts w:ascii="Times New Roman" w:hAnsi="Times New Roman"/>
          <w:b w:val="0"/>
          <w:i w:val="0"/>
          <w:color w:val="000000"/>
          <w:sz w:val="22"/>
        </w:rPr>
      </w:r>
    </w:p>
    <w:p>
      <w:pPr>
        <w:pStyle w:val="Heading2"/>
      </w:pPr>
      <w:r>
        <w:rPr>
          <w:rFonts w:ascii="Times New Roman" w:hAnsi="Times New Roman"/>
          <w:color w:val="17365D"/>
        </w:rPr>
        <w:t>Detailed Estimate Updates</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r>
          </w:p>
        </w:tc>
        <w:tc>
          <w:tcPr>
            <w:tcW w:type="dxa" w:w="1881"/>
          </w:tcPr>
          <w:p>
            <w:pPr>
              <w:jc w:val="center"/>
            </w:pPr>
            <w:r>
              <w:rPr>
                <w:rFonts w:ascii="Times New Roman" w:hAnsi="Times New Roman"/>
                <w:b/>
                <w:sz w:val="20"/>
              </w:rPr>
              <w:t>Q4 2025A</w:t>
            </w:r>
          </w:p>
        </w:tc>
        <w:tc>
          <w:tcPr>
            <w:tcW w:type="dxa" w:w="1881"/>
          </w:tcPr>
          <w:p>
            <w:pPr>
              <w:jc w:val="center"/>
            </w:pPr>
            <w:r>
              <w:rPr>
                <w:rFonts w:ascii="Times New Roman" w:hAnsi="Times New Roman"/>
                <w:b/>
                <w:sz w:val="20"/>
              </w:rPr>
              <w:t>FY2025A</w:t>
            </w:r>
          </w:p>
        </w:tc>
        <w:tc>
          <w:tcPr>
            <w:tcW w:type="dxa" w:w="1881"/>
          </w:tcPr>
          <w:p>
            <w:pPr>
              <w:jc w:val="center"/>
            </w:pPr>
            <w:r>
              <w:rPr>
                <w:rFonts w:ascii="Times New Roman" w:hAnsi="Times New Roman"/>
                <w:b/>
                <w:sz w:val="20"/>
              </w:rPr>
              <w:t>FY2026E</w:t>
            </w:r>
          </w:p>
        </w:tc>
        <w:tc>
          <w:tcPr>
            <w:tcW w:type="dxa" w:w="1881"/>
          </w:tcPr>
          <w:p>
            <w:pPr>
              <w:jc w:val="center"/>
            </w:pPr>
            <w:r>
              <w:rPr>
                <w:rFonts w:ascii="Times New Roman" w:hAnsi="Times New Roman"/>
                <w:b/>
                <w:sz w:val="20"/>
              </w:rPr>
              <w:t>FY2027E</w:t>
            </w:r>
          </w:p>
        </w:tc>
      </w:tr>
      <w:tr>
        <w:tc>
          <w:tcPr>
            <w:tcW w:type="dxa" w:w="1881"/>
          </w:tcPr>
          <w:p>
            <w:pPr>
              <w:jc w:val="left"/>
            </w:pPr>
            <w:r>
              <w:rPr>
                <w:rFonts w:ascii="Times New Roman" w:hAnsi="Times New Roman"/>
                <w:sz w:val="20"/>
              </w:rPr>
              <w:t>Net Sales ($M)</w:t>
            </w:r>
          </w:p>
        </w:tc>
        <w:tc>
          <w:tcPr>
            <w:tcW w:type="dxa" w:w="1881"/>
          </w:tcPr>
          <w:p>
            <w:pPr>
              <w:jc w:val="center"/>
            </w:pPr>
            <w:r>
              <w:rPr>
                <w:rFonts w:ascii="Times New Roman" w:hAnsi="Times New Roman"/>
                <w:sz w:val="20"/>
              </w:rPr>
              <w:t>$5,230</w:t>
            </w:r>
          </w:p>
        </w:tc>
        <w:tc>
          <w:tcPr>
            <w:tcW w:type="dxa" w:w="1881"/>
          </w:tcPr>
          <w:p>
            <w:pPr>
              <w:jc w:val="center"/>
            </w:pPr>
            <w:r>
              <w:rPr>
                <w:rFonts w:ascii="Times New Roman" w:hAnsi="Times New Roman"/>
                <w:sz w:val="20"/>
              </w:rPr>
              <w:t>$20,382</w:t>
            </w:r>
          </w:p>
        </w:tc>
        <w:tc>
          <w:tcPr>
            <w:tcW w:type="dxa" w:w="1881"/>
          </w:tcPr>
          <w:p>
            <w:pPr>
              <w:jc w:val="center"/>
            </w:pPr>
            <w:r>
              <w:rPr>
                <w:rFonts w:ascii="Times New Roman" w:hAnsi="Times New Roman"/>
                <w:sz w:val="20"/>
              </w:rPr>
              <w:t>$21,940</w:t>
            </w:r>
          </w:p>
        </w:tc>
        <w:tc>
          <w:tcPr>
            <w:tcW w:type="dxa" w:w="1881"/>
          </w:tcPr>
          <w:p>
            <w:pPr>
              <w:jc w:val="center"/>
            </w:pPr>
            <w:r>
              <w:rPr>
                <w:rFonts w:ascii="Times New Roman" w:hAnsi="Times New Roman"/>
                <w:sz w:val="20"/>
              </w:rPr>
              <w:t>$22,660</w:t>
            </w:r>
          </w:p>
        </w:tc>
      </w:tr>
      <w:tr>
        <w:tc>
          <w:tcPr>
            <w:tcW w:type="dxa" w:w="1881"/>
          </w:tcPr>
          <w:p>
            <w:pPr>
              <w:jc w:val="left"/>
            </w:pPr>
            <w:r>
              <w:rPr>
                <w:rFonts w:ascii="Times New Roman" w:hAnsi="Times New Roman"/>
                <w:sz w:val="20"/>
              </w:rPr>
              <w:t>Net Sales Growth</w:t>
            </w:r>
          </w:p>
        </w:tc>
        <w:tc>
          <w:tcPr>
            <w:tcW w:type="dxa" w:w="1881"/>
          </w:tcPr>
          <w:p>
            <w:pPr>
              <w:jc w:val="center"/>
            </w:pPr>
            <w:r>
              <w:rPr>
                <w:rFonts w:ascii="Times New Roman" w:hAnsi="Times New Roman"/>
                <w:sz w:val="20"/>
              </w:rPr>
              <w:t>+5.8%</w:t>
            </w:r>
          </w:p>
        </w:tc>
        <w:tc>
          <w:tcPr>
            <w:tcW w:type="dxa" w:w="1881"/>
          </w:tcPr>
          <w:p>
            <w:pPr>
              <w:jc w:val="center"/>
            </w:pPr>
            <w:r>
              <w:rPr>
                <w:rFonts w:ascii="Times New Roman" w:hAnsi="Times New Roman"/>
                <w:sz w:val="20"/>
              </w:rPr>
              <w:t>+1.4%</w:t>
            </w:r>
          </w:p>
        </w:tc>
        <w:tc>
          <w:tcPr>
            <w:tcW w:type="dxa" w:w="1881"/>
          </w:tcPr>
          <w:p>
            <w:pPr>
              <w:jc w:val="center"/>
            </w:pPr>
            <w:r>
              <w:rPr>
                <w:rFonts w:ascii="Times New Roman" w:hAnsi="Times New Roman"/>
                <w:sz w:val="20"/>
              </w:rPr>
              <w:t>+7.6%</w:t>
            </w:r>
          </w:p>
        </w:tc>
        <w:tc>
          <w:tcPr>
            <w:tcW w:type="dxa" w:w="1881"/>
          </w:tcPr>
          <w:p>
            <w:pPr>
              <w:jc w:val="center"/>
            </w:pPr>
            <w:r>
              <w:rPr>
                <w:rFonts w:ascii="Times New Roman" w:hAnsi="Times New Roman"/>
                <w:sz w:val="20"/>
              </w:rPr>
              <w:t>+3.3%</w:t>
            </w:r>
          </w:p>
        </w:tc>
      </w:tr>
      <w:tr>
        <w:tc>
          <w:tcPr>
            <w:tcW w:type="dxa" w:w="1881"/>
          </w:tcPr>
          <w:p>
            <w:pPr>
              <w:jc w:val="left"/>
            </w:pPr>
            <w:r>
              <w:rPr>
                <w:rFonts w:ascii="Times New Roman" w:hAnsi="Times New Roman"/>
                <w:sz w:val="20"/>
              </w:rPr>
              <w:t>Organic Growth</w:t>
            </w:r>
          </w:p>
        </w:tc>
        <w:tc>
          <w:tcPr>
            <w:tcW w:type="dxa" w:w="1881"/>
          </w:tcPr>
          <w:p>
            <w:pPr>
              <w:jc w:val="center"/>
            </w:pPr>
            <w:r>
              <w:rPr>
                <w:rFonts w:ascii="Times New Roman" w:hAnsi="Times New Roman"/>
                <w:sz w:val="20"/>
              </w:rPr>
              <w:t>+2.2%</w:t>
            </w:r>
          </w:p>
        </w:tc>
        <w:tc>
          <w:tcPr>
            <w:tcW w:type="dxa" w:w="1881"/>
          </w:tcPr>
          <w:p>
            <w:pPr>
              <w:jc w:val="center"/>
            </w:pPr>
            <w:r>
              <w:rPr>
                <w:rFonts w:ascii="Times New Roman" w:hAnsi="Times New Roman"/>
                <w:sz w:val="20"/>
              </w:rPr>
              <w:t>+1.4%</w:t>
            </w:r>
          </w:p>
        </w:tc>
        <w:tc>
          <w:tcPr>
            <w:tcW w:type="dxa" w:w="1881"/>
          </w:tcPr>
          <w:p>
            <w:pPr>
              <w:jc w:val="center"/>
            </w:pPr>
            <w:r>
              <w:rPr>
                <w:rFonts w:ascii="Times New Roman" w:hAnsi="Times New Roman"/>
                <w:sz w:val="20"/>
              </w:rPr>
              <w:t>+2.5%E</w:t>
            </w:r>
          </w:p>
        </w:tc>
        <w:tc>
          <w:tcPr>
            <w:tcW w:type="dxa" w:w="1881"/>
          </w:tcPr>
          <w:p>
            <w:pPr>
              <w:jc w:val="center"/>
            </w:pPr>
            <w:r>
              <w:rPr>
                <w:rFonts w:ascii="Times New Roman" w:hAnsi="Times New Roman"/>
                <w:sz w:val="20"/>
              </w:rPr>
              <w:t>+3.0%E</w:t>
            </w:r>
          </w:p>
        </w:tc>
      </w:tr>
      <w:tr>
        <w:tc>
          <w:tcPr>
            <w:tcW w:type="dxa" w:w="1881"/>
          </w:tcPr>
          <w:p>
            <w:pPr>
              <w:jc w:val="left"/>
            </w:pPr>
            <w:r>
              <w:rPr>
                <w:rFonts w:ascii="Times New Roman" w:hAnsi="Times New Roman"/>
                <w:sz w:val="20"/>
              </w:rPr>
              <w:t>Gross Margin</w:t>
            </w:r>
          </w:p>
        </w:tc>
        <w:tc>
          <w:tcPr>
            <w:tcW w:type="dxa" w:w="1881"/>
          </w:tcPr>
          <w:p>
            <w:pPr>
              <w:jc w:val="center"/>
            </w:pPr>
            <w:r>
              <w:rPr>
                <w:rFonts w:ascii="Times New Roman" w:hAnsi="Times New Roman"/>
                <w:sz w:val="20"/>
              </w:rPr>
              <w:t>60.2%</w:t>
            </w:r>
          </w:p>
        </w:tc>
        <w:tc>
          <w:tcPr>
            <w:tcW w:type="dxa" w:w="1881"/>
          </w:tcPr>
          <w:p>
            <w:pPr>
              <w:jc w:val="center"/>
            </w:pPr>
            <w:r>
              <w:rPr>
                <w:rFonts w:ascii="Times New Roman" w:hAnsi="Times New Roman"/>
                <w:sz w:val="20"/>
              </w:rPr>
              <w:t>60.1%</w:t>
            </w:r>
          </w:p>
        </w:tc>
        <w:tc>
          <w:tcPr>
            <w:tcW w:type="dxa" w:w="1881"/>
          </w:tcPr>
          <w:p>
            <w:pPr>
              <w:jc w:val="center"/>
            </w:pPr>
            <w:r>
              <w:rPr>
                <w:rFonts w:ascii="Times New Roman" w:hAnsi="Times New Roman"/>
                <w:sz w:val="20"/>
              </w:rPr>
              <w:t>60.8%E</w:t>
            </w:r>
          </w:p>
        </w:tc>
        <w:tc>
          <w:tcPr>
            <w:tcW w:type="dxa" w:w="1881"/>
          </w:tcPr>
          <w:p>
            <w:pPr>
              <w:jc w:val="center"/>
            </w:pPr>
            <w:r>
              <w:rPr>
                <w:rFonts w:ascii="Times New Roman" w:hAnsi="Times New Roman"/>
                <w:sz w:val="20"/>
              </w:rPr>
              <w:t>61.2%E</w:t>
            </w:r>
          </w:p>
        </w:tc>
      </w:tr>
      <w:tr>
        <w:tc>
          <w:tcPr>
            <w:tcW w:type="dxa" w:w="1881"/>
          </w:tcPr>
          <w:p>
            <w:pPr>
              <w:jc w:val="left"/>
            </w:pPr>
            <w:r>
              <w:rPr>
                <w:rFonts w:ascii="Times New Roman" w:hAnsi="Times New Roman"/>
                <w:sz w:val="20"/>
              </w:rPr>
              <w:t>Base Business Op. Margin</w:t>
            </w:r>
          </w:p>
        </w:tc>
        <w:tc>
          <w:tcPr>
            <w:tcW w:type="dxa" w:w="1881"/>
          </w:tcPr>
          <w:p>
            <w:pPr>
              <w:jc w:val="center"/>
            </w:pPr>
            <w:r>
              <w:rPr>
                <w:rFonts w:ascii="Times New Roman" w:hAnsi="Times New Roman"/>
                <w:sz w:val="20"/>
              </w:rPr>
              <w:t>21.2%</w:t>
            </w:r>
          </w:p>
        </w:tc>
        <w:tc>
          <w:tcPr>
            <w:tcW w:type="dxa" w:w="1881"/>
          </w:tcPr>
          <w:p>
            <w:pPr>
              <w:jc w:val="center"/>
            </w:pPr>
            <w:r>
              <w:rPr>
                <w:rFonts w:ascii="Times New Roman" w:hAnsi="Times New Roman"/>
                <w:sz w:val="20"/>
              </w:rPr>
              <w:t>21.3%</w:t>
            </w:r>
          </w:p>
        </w:tc>
        <w:tc>
          <w:tcPr>
            <w:tcW w:type="dxa" w:w="1881"/>
          </w:tcPr>
          <w:p>
            <w:pPr>
              <w:jc w:val="center"/>
            </w:pPr>
            <w:r>
              <w:rPr>
                <w:rFonts w:ascii="Times New Roman" w:hAnsi="Times New Roman"/>
                <w:sz w:val="20"/>
              </w:rPr>
              <w:t>21.5%E</w:t>
            </w:r>
          </w:p>
        </w:tc>
        <w:tc>
          <w:tcPr>
            <w:tcW w:type="dxa" w:w="1881"/>
          </w:tcPr>
          <w:p>
            <w:pPr>
              <w:jc w:val="center"/>
            </w:pPr>
            <w:r>
              <w:rPr>
                <w:rFonts w:ascii="Times New Roman" w:hAnsi="Times New Roman"/>
                <w:sz w:val="20"/>
              </w:rPr>
              <w:t>22.0%E</w:t>
            </w:r>
          </w:p>
        </w:tc>
      </w:tr>
      <w:tr>
        <w:tc>
          <w:tcPr>
            <w:tcW w:type="dxa" w:w="1881"/>
          </w:tcPr>
          <w:p>
            <w:pPr>
              <w:jc w:val="left"/>
            </w:pPr>
            <w:r>
              <w:rPr>
                <w:rFonts w:ascii="Times New Roman" w:hAnsi="Times New Roman"/>
                <w:sz w:val="20"/>
              </w:rPr>
              <w:t>Base Business EPS</w:t>
            </w:r>
          </w:p>
        </w:tc>
        <w:tc>
          <w:tcPr>
            <w:tcW w:type="dxa" w:w="1881"/>
          </w:tcPr>
          <w:p>
            <w:pPr>
              <w:jc w:val="center"/>
            </w:pPr>
            <w:r>
              <w:rPr>
                <w:rFonts w:ascii="Times New Roman" w:hAnsi="Times New Roman"/>
                <w:sz w:val="20"/>
              </w:rPr>
              <w:t>$0.95</w:t>
            </w:r>
          </w:p>
        </w:tc>
        <w:tc>
          <w:tcPr>
            <w:tcW w:type="dxa" w:w="1881"/>
          </w:tcPr>
          <w:p>
            <w:pPr>
              <w:jc w:val="center"/>
            </w:pPr>
            <w:r>
              <w:rPr>
                <w:rFonts w:ascii="Times New Roman" w:hAnsi="Times New Roman"/>
                <w:sz w:val="20"/>
              </w:rPr>
              <w:t>$3.69</w:t>
            </w:r>
          </w:p>
        </w:tc>
        <w:tc>
          <w:tcPr>
            <w:tcW w:type="dxa" w:w="1881"/>
          </w:tcPr>
          <w:p>
            <w:pPr>
              <w:jc w:val="center"/>
            </w:pPr>
            <w:r>
              <w:rPr>
                <w:rFonts w:ascii="Times New Roman" w:hAnsi="Times New Roman"/>
                <w:sz w:val="20"/>
              </w:rPr>
              <w:t>$3.99E</w:t>
            </w:r>
          </w:p>
        </w:tc>
        <w:tc>
          <w:tcPr>
            <w:tcW w:type="dxa" w:w="1881"/>
          </w:tcPr>
          <w:p>
            <w:pPr>
              <w:jc w:val="center"/>
            </w:pPr>
            <w:r>
              <w:rPr>
                <w:rFonts w:ascii="Times New Roman" w:hAnsi="Times New Roman"/>
                <w:sz w:val="20"/>
              </w:rPr>
              <w:t>$4.26E</w:t>
            </w:r>
          </w:p>
        </w:tc>
      </w:tr>
      <w:tr>
        <w:tc>
          <w:tcPr>
            <w:tcW w:type="dxa" w:w="1881"/>
          </w:tcPr>
          <w:p>
            <w:pPr>
              <w:jc w:val="left"/>
            </w:pPr>
            <w:r>
              <w:rPr>
                <w:rFonts w:ascii="Times New Roman" w:hAnsi="Times New Roman"/>
                <w:sz w:val="20"/>
              </w:rPr>
              <w:t>Free Cash Flow ($M)</w:t>
            </w:r>
          </w:p>
        </w:tc>
        <w:tc>
          <w:tcPr>
            <w:tcW w:type="dxa" w:w="1881"/>
          </w:tcPr>
          <w:p>
            <w:pPr>
              <w:jc w:val="center"/>
            </w:pPr>
            <w:r>
              <w:rPr>
                <w:rFonts w:ascii="Times New Roman" w:hAnsi="Times New Roman"/>
                <w:sz w:val="20"/>
              </w:rPr>
              <w:t>N/A</w:t>
            </w:r>
          </w:p>
        </w:tc>
        <w:tc>
          <w:tcPr>
            <w:tcW w:type="dxa" w:w="1881"/>
          </w:tcPr>
          <w:p>
            <w:pPr>
              <w:jc w:val="center"/>
            </w:pPr>
            <w:r>
              <w:rPr>
                <w:rFonts w:ascii="Times New Roman" w:hAnsi="Times New Roman"/>
                <w:sz w:val="20"/>
              </w:rPr>
              <w:t>$3,634</w:t>
            </w:r>
          </w:p>
        </w:tc>
        <w:tc>
          <w:tcPr>
            <w:tcW w:type="dxa" w:w="1881"/>
          </w:tcPr>
          <w:p>
            <w:pPr>
              <w:jc w:val="center"/>
            </w:pPr>
            <w:r>
              <w:rPr>
                <w:rFonts w:ascii="Times New Roman" w:hAnsi="Times New Roman"/>
                <w:sz w:val="20"/>
              </w:rPr>
              <w:t>$3,800E</w:t>
            </w:r>
          </w:p>
        </w:tc>
        <w:tc>
          <w:tcPr>
            <w:tcW w:type="dxa" w:w="1881"/>
          </w:tcPr>
          <w:p>
            <w:pPr>
              <w:jc w:val="center"/>
            </w:pPr>
            <w:r>
              <w:rPr>
                <w:rFonts w:ascii="Times New Roman" w:hAnsi="Times New Roman"/>
                <w:sz w:val="20"/>
              </w:rPr>
              <w:t>$4,000E</w:t>
            </w:r>
          </w:p>
        </w:tc>
      </w:tr>
      <w:tr>
        <w:tc>
          <w:tcPr>
            <w:tcW w:type="dxa" w:w="1881"/>
          </w:tcPr>
          <w:p>
            <w:pPr>
              <w:jc w:val="left"/>
            </w:pPr>
            <w:r>
              <w:rPr>
                <w:rFonts w:ascii="Times New Roman" w:hAnsi="Times New Roman"/>
                <w:sz w:val="20"/>
              </w:rPr>
              <w:t>Dividend/Share (Annual)</w:t>
            </w:r>
          </w:p>
        </w:tc>
        <w:tc>
          <w:tcPr>
            <w:tcW w:type="dxa" w:w="1881"/>
          </w:tcPr>
          <w:p>
            <w:pPr>
              <w:jc w:val="center"/>
            </w:pPr>
            <w:r>
              <w:rPr>
                <w:rFonts w:ascii="Times New Roman" w:hAnsi="Times New Roman"/>
                <w:sz w:val="20"/>
              </w:rPr>
              <w:t>$2.08</w:t>
            </w:r>
          </w:p>
        </w:tc>
        <w:tc>
          <w:tcPr>
            <w:tcW w:type="dxa" w:w="1881"/>
          </w:tcPr>
          <w:p>
            <w:pPr>
              <w:jc w:val="center"/>
            </w:pPr>
            <w:r>
              <w:rPr>
                <w:rFonts w:ascii="Times New Roman" w:hAnsi="Times New Roman"/>
                <w:sz w:val="20"/>
              </w:rPr>
              <w:t>$2.08</w:t>
            </w:r>
          </w:p>
        </w:tc>
        <w:tc>
          <w:tcPr>
            <w:tcW w:type="dxa" w:w="1881"/>
          </w:tcPr>
          <w:p>
            <w:pPr>
              <w:jc w:val="center"/>
            </w:pPr>
            <w:r>
              <w:rPr>
                <w:rFonts w:ascii="Times New Roman" w:hAnsi="Times New Roman"/>
                <w:sz w:val="20"/>
              </w:rPr>
              <w:t>$2.16E</w:t>
            </w:r>
          </w:p>
        </w:tc>
        <w:tc>
          <w:tcPr>
            <w:tcW w:type="dxa" w:w="1881"/>
          </w:tcPr>
          <w:p>
            <w:pPr>
              <w:jc w:val="center"/>
            </w:pPr>
            <w:r>
              <w:rPr>
                <w:rFonts w:ascii="Times New Roman" w:hAnsi="Times New Roman"/>
                <w:sz w:val="20"/>
              </w:rPr>
              <w:t>$2.24E</w:t>
            </w:r>
          </w:p>
        </w:tc>
      </w:tr>
    </w:tbl>
    <w:p>
      <w:pPr>
        <w:spacing w:after="240"/>
      </w:pPr>
      <w:r>
        <w:rPr>
          <w:rFonts w:ascii="Times New Roman" w:hAnsi="Times New Roman"/>
          <w:b w:val="0"/>
          <w:i/>
          <w:color w:val="777777"/>
          <w:sz w:val="16"/>
        </w:rPr>
        <w:t>Source: FY2025 actual from Colgate-Palmolive; estimates from StockAnalysis.com consensus and our analysis. A = Actual, E = Estimate.</w:t>
      </w:r>
    </w:p>
    <w:p>
      <w:pPr>
        <w:jc w:val="center"/>
      </w:pPr>
      <w:r>
        <w:drawing>
          <wp:inline xmlns:a="http://schemas.openxmlformats.org/drawingml/2006/main" xmlns:pic="http://schemas.openxmlformats.org/drawingml/2006/picture">
            <wp:extent cx="5029200" cy="3608059"/>
            <wp:docPr id="11" name="Picture 11"/>
            <wp:cNvGraphicFramePr>
              <a:graphicFrameLocks noChangeAspect="1"/>
            </wp:cNvGraphicFramePr>
            <a:graphic>
              <a:graphicData uri="http://schemas.openxmlformats.org/drawingml/2006/picture">
                <pic:pic>
                  <pic:nvPicPr>
                    <pic:cNvPr id="0" name="chart12_shareholder_returns.png"/>
                    <pic:cNvPicPr/>
                  </pic:nvPicPr>
                  <pic:blipFill>
                    <a:blip r:embed="rId19"/>
                    <a:stretch>
                      <a:fillRect/>
                    </a:stretch>
                  </pic:blipFill>
                  <pic:spPr>
                    <a:xfrm>
                      <a:off x="0" y="0"/>
                      <a:ext cx="5029200" cy="3608059"/>
                    </a:xfrm>
                    <a:prstGeom prst="rect"/>
                  </pic:spPr>
                </pic:pic>
              </a:graphicData>
            </a:graphic>
          </wp:inline>
        </w:drawing>
      </w:r>
    </w:p>
    <w:p>
      <w:pPr>
        <w:spacing w:after="240"/>
        <w:jc w:val="center"/>
      </w:pPr>
      <w:r>
        <w:rPr>
          <w:rFonts w:ascii="Times New Roman" w:hAnsi="Times New Roman"/>
          <w:b w:val="0"/>
          <w:i/>
          <w:color w:val="777777"/>
          <w:sz w:val="18"/>
        </w:rPr>
        <w:t>Figure 11: Shareholder Returns — Consistent and Growing Capital Return</w:t>
      </w:r>
    </w:p>
    <w:p>
      <w:pPr>
        <w:jc w:val="center"/>
      </w:pPr>
      <w:r>
        <w:drawing>
          <wp:inline xmlns:a="http://schemas.openxmlformats.org/drawingml/2006/main" xmlns:pic="http://schemas.openxmlformats.org/drawingml/2006/picture">
            <wp:extent cx="5029200" cy="3146745"/>
            <wp:docPr id="12" name="Picture 12"/>
            <wp:cNvGraphicFramePr>
              <a:graphicFrameLocks noChangeAspect="1"/>
            </wp:cNvGraphicFramePr>
            <a:graphic>
              <a:graphicData uri="http://schemas.openxmlformats.org/drawingml/2006/picture">
                <pic:pic>
                  <pic:nvPicPr>
                    <pic:cNvPr id="0" name="chart2_beat_miss.png"/>
                    <pic:cNvPicPr/>
                  </pic:nvPicPr>
                  <pic:blipFill>
                    <a:blip r:embed="rId20"/>
                    <a:stretch>
                      <a:fillRect/>
                    </a:stretch>
                  </pic:blipFill>
                  <pic:spPr>
                    <a:xfrm>
                      <a:off x="0" y="0"/>
                      <a:ext cx="5029200" cy="3146745"/>
                    </a:xfrm>
                    <a:prstGeom prst="rect"/>
                  </pic:spPr>
                </pic:pic>
              </a:graphicData>
            </a:graphic>
          </wp:inline>
        </w:drawing>
      </w:r>
    </w:p>
    <w:p>
      <w:pPr>
        <w:spacing w:after="240"/>
        <w:jc w:val="center"/>
      </w:pPr>
      <w:r>
        <w:rPr>
          <w:rFonts w:ascii="Times New Roman" w:hAnsi="Times New Roman"/>
          <w:b w:val="0"/>
          <w:i/>
          <w:color w:val="777777"/>
          <w:sz w:val="18"/>
        </w:rPr>
        <w:t>Figure 12: Q4 2025 Revenue Beat — Strongest Quarter of the Year</w:t>
      </w:r>
    </w:p>
    <w:p>
      <w:r>
        <w:br w:type="page"/>
      </w:r>
    </w:p>
    <w:p>
      <w:pPr>
        <w:pStyle w:val="Heading1"/>
      </w:pPr>
      <w:r>
        <w:rPr>
          <w:rFonts w:ascii="Times New Roman" w:hAnsi="Times New Roman"/>
          <w:color w:val="17365D"/>
        </w:rPr>
        <w:t>Appendix</w:t>
      </w:r>
    </w:p>
    <w:p>
      <w:pPr>
        <w:pStyle w:val="Heading2"/>
      </w:pPr>
      <w:r>
        <w:rPr>
          <w:rFonts w:ascii="Times New Roman" w:hAnsi="Times New Roman"/>
          <w:color w:val="17365D"/>
        </w:rPr>
        <w:t>Earnings Call Highlights</w:t>
      </w:r>
    </w:p>
    <w:p>
      <w:pPr>
        <w:spacing w:after="160"/>
      </w:pPr>
      <w:r>
        <w:rPr>
          <w:rFonts w:ascii="Times New Roman" w:hAnsi="Times New Roman"/>
          <w:b/>
          <w:i w:val="0"/>
          <w:color w:val="000000"/>
          <w:sz w:val="22"/>
        </w:rPr>
        <w:t>Key quotes from the Q4 2025 earnings call (January 30, 2026):</w:t>
      </w:r>
    </w:p>
    <w:p>
      <w:pPr>
        <w:spacing w:after="160"/>
      </w:pPr>
      <w:r>
        <w:rPr>
          <w:rFonts w:ascii="Times New Roman" w:hAnsi="Times New Roman"/>
          <w:b/>
          <w:i/>
          <w:sz w:val="20"/>
        </w:rPr>
        <w:t xml:space="preserve">On category environment: </w:t>
      </w:r>
      <w:r>
        <w:rPr>
          <w:rFonts w:ascii="Times New Roman" w:hAnsi="Times New Roman"/>
          <w:sz w:val="20"/>
        </w:rPr>
        <w:t>Global product categories remain soft at ~1.5-2.5% growth versus the historical 4-5% level. Management framed 2026 guidance around three scenarios depending on whether categories worsen, hold, or strengthen.</w:t>
      </w:r>
    </w:p>
    <w:p>
      <w:pPr>
        <w:spacing w:after="160"/>
      </w:pPr>
      <w:r>
        <w:rPr>
          <w:rFonts w:ascii="Times New Roman" w:hAnsi="Times New Roman"/>
          <w:b/>
          <w:i/>
          <w:sz w:val="20"/>
        </w:rPr>
        <w:t xml:space="preserve">On North America: </w:t>
      </w:r>
      <w:r>
        <w:rPr>
          <w:rFonts w:ascii="Times New Roman" w:hAnsi="Times New Roman"/>
          <w:sz w:val="20"/>
        </w:rPr>
        <w:t>Management acknowledged 9-10 categories with negative volume in October-November but emphasized this reflects category-wide softness rather than Colgate-specific share loss. Innovation pipeline for 2026 is "much stronger" with aggressive new product introductions.</w:t>
      </w:r>
    </w:p>
    <w:p>
      <w:pPr>
        <w:spacing w:after="160"/>
      </w:pPr>
      <w:r>
        <w:rPr>
          <w:rFonts w:ascii="Times New Roman" w:hAnsi="Times New Roman"/>
          <w:b/>
          <w:i/>
          <w:sz w:val="20"/>
        </w:rPr>
        <w:t xml:space="preserve">On emerging markets: </w:t>
      </w:r>
      <w:r>
        <w:rPr>
          <w:rFonts w:ascii="Times New Roman" w:hAnsi="Times New Roman"/>
          <w:sz w:val="20"/>
        </w:rPr>
        <w:t>"Emerging markets grew at about 4.5% organic in the quarter with a good balance between price and volume." Mexico and Brazil contributed high single-digit growth.</w:t>
      </w:r>
    </w:p>
    <w:p>
      <w:pPr>
        <w:spacing w:after="160"/>
      </w:pPr>
      <w:r>
        <w:rPr>
          <w:rFonts w:ascii="Times New Roman" w:hAnsi="Times New Roman"/>
          <w:b/>
          <w:i/>
          <w:sz w:val="20"/>
        </w:rPr>
        <w:t xml:space="preserve">On Hill's Pet Nutrition: </w:t>
      </w:r>
      <w:r>
        <w:rPr>
          <w:rFonts w:ascii="Times New Roman" w:hAnsi="Times New Roman"/>
          <w:sz w:val="20"/>
        </w:rPr>
        <w:t>"Prescription Diet business growing very, very nicely" with market share gains. Hill's achieved &gt;5% growth excluding the private label exit.</w:t>
      </w:r>
    </w:p>
    <w:p>
      <w:pPr>
        <w:spacing w:after="160"/>
      </w:pPr>
      <w:r>
        <w:rPr>
          <w:rFonts w:ascii="Times New Roman" w:hAnsi="Times New Roman"/>
          <w:b/>
          <w:i/>
          <w:sz w:val="20"/>
        </w:rPr>
        <w:t xml:space="preserve">On pricing power: </w:t>
      </w:r>
      <w:r>
        <w:rPr>
          <w:rFonts w:ascii="Times New Roman" w:hAnsi="Times New Roman"/>
          <w:sz w:val="20"/>
        </w:rPr>
        <w:t>"We need to get some pricing in that category" — management emphasizing Revenue Growth Management to balance price, promotion, mix, and innovation.</w:t>
      </w:r>
    </w:p>
    <w:p>
      <w:pPr>
        <w:spacing w:after="160"/>
      </w:pPr>
      <w:r>
        <w:rPr>
          <w:rFonts w:ascii="Times New Roman" w:hAnsi="Times New Roman"/>
          <w:b/>
          <w:i/>
          <w:sz w:val="20"/>
        </w:rPr>
        <w:t xml:space="preserve">On 2030 strategy: </w:t>
      </w:r>
      <w:r>
        <w:rPr>
          <w:rFonts w:ascii="Times New Roman" w:hAnsi="Times New Roman"/>
          <w:sz w:val="20"/>
        </w:rPr>
        <w:t>New long-term strategy announced focusing on brand leverage, science-driven innovation, omnichannel demand generation, digital/AI capabilities, and supply chain optimization.</w:t>
      </w:r>
    </w:p>
    <w:p>
      <w:pPr>
        <w:pStyle w:val="Heading2"/>
      </w:pPr>
      <w:r>
        <w:rPr>
          <w:rFonts w:ascii="Times New Roman" w:hAnsi="Times New Roman"/>
          <w:color w:val="17365D"/>
        </w:rPr>
        <w:t>Filorga Impairment Detail</w:t>
      </w:r>
    </w:p>
    <w:p>
      <w:pPr>
        <w:spacing w:after="120"/>
      </w:pPr>
      <w:r>
        <w:rPr>
          <w:rFonts w:ascii="Times New Roman" w:hAnsi="Times New Roman"/>
          <w:b w:val="0"/>
          <w:i w:val="0"/>
          <w:color w:val="000000"/>
          <w:sz w:val="22"/>
        </w:rPr>
        <w:t>Colgate recorded a $794 million after-tax non-cash impairment charge in Q4 2025 related to the Filorga skin health business (goodwill and intangible asset write-downs). Filorga was acquired in 2019 for approximately $1.7 billion as part of Colgate's premium skin care strategy. The impairment reflects lower-than-expected growth and a reassessment of long-term prospects for the brand. This charge had no impact on cash flow, operating performance, or the Base Business earnings metric.</w:t>
      </w:r>
    </w:p>
    <w:p>
      <w:pPr>
        <w:pStyle w:val="Heading2"/>
      </w:pPr>
      <w:r>
        <w:rPr>
          <w:rFonts w:ascii="Times New Roman" w:hAnsi="Times New Roman"/>
          <w:color w:val="17365D"/>
        </w:rPr>
        <w:t>Post-Earnings Analyst Activity</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0"/>
              </w:rPr>
              <w:t>Firm</w:t>
            </w:r>
          </w:p>
        </w:tc>
        <w:tc>
          <w:tcPr>
            <w:tcW w:type="dxa" w:w="2351"/>
          </w:tcPr>
          <w:p>
            <w:pPr>
              <w:jc w:val="center"/>
            </w:pPr>
            <w:r>
              <w:rPr>
                <w:rFonts w:ascii="Times New Roman" w:hAnsi="Times New Roman"/>
                <w:b/>
                <w:sz w:val="20"/>
              </w:rPr>
              <w:t>Action</w:t>
            </w:r>
          </w:p>
        </w:tc>
        <w:tc>
          <w:tcPr>
            <w:tcW w:type="dxa" w:w="2351"/>
          </w:tcPr>
          <w:p>
            <w:pPr>
              <w:jc w:val="center"/>
            </w:pPr>
            <w:r>
              <w:rPr>
                <w:rFonts w:ascii="Times New Roman" w:hAnsi="Times New Roman"/>
                <w:b/>
                <w:sz w:val="20"/>
              </w:rPr>
              <w:t>New Price Target</w:t>
            </w:r>
          </w:p>
        </w:tc>
        <w:tc>
          <w:tcPr>
            <w:tcW w:type="dxa" w:w="2351"/>
          </w:tcPr>
          <w:p>
            <w:pPr>
              <w:jc w:val="center"/>
            </w:pPr>
            <w:r>
              <w:rPr>
                <w:rFonts w:ascii="Times New Roman" w:hAnsi="Times New Roman"/>
                <w:b/>
                <w:sz w:val="20"/>
              </w:rPr>
              <w:t>Previous</w:t>
            </w:r>
          </w:p>
        </w:tc>
      </w:tr>
      <w:tr>
        <w:tc>
          <w:tcPr>
            <w:tcW w:type="dxa" w:w="2351"/>
          </w:tcPr>
          <w:p>
            <w:pPr>
              <w:jc w:val="left"/>
            </w:pPr>
            <w:r>
              <w:rPr>
                <w:rFonts w:ascii="Times New Roman" w:hAnsi="Times New Roman"/>
                <w:sz w:val="20"/>
              </w:rPr>
              <w:t>Bank of America</w:t>
            </w:r>
          </w:p>
        </w:tc>
        <w:tc>
          <w:tcPr>
            <w:tcW w:type="dxa" w:w="2351"/>
          </w:tcPr>
          <w:p>
            <w:pPr>
              <w:jc w:val="center"/>
            </w:pPr>
            <w:r>
              <w:rPr>
                <w:rFonts w:ascii="Times New Roman" w:hAnsi="Times New Roman"/>
                <w:sz w:val="20"/>
              </w:rPr>
              <w:t>PT Raised</w:t>
            </w:r>
          </w:p>
        </w:tc>
        <w:tc>
          <w:tcPr>
            <w:tcW w:type="dxa" w:w="2351"/>
          </w:tcPr>
          <w:p>
            <w:pPr>
              <w:jc w:val="center"/>
            </w:pPr>
            <w:r>
              <w:rPr>
                <w:rFonts w:ascii="Times New Roman" w:hAnsi="Times New Roman"/>
                <w:sz w:val="20"/>
              </w:rPr>
              <w:t>$105</w:t>
            </w:r>
          </w:p>
        </w:tc>
        <w:tc>
          <w:tcPr>
            <w:tcW w:type="dxa" w:w="2351"/>
          </w:tcPr>
          <w:p>
            <w:pPr>
              <w:jc w:val="center"/>
            </w:pPr>
            <w:r>
              <w:rPr>
                <w:rFonts w:ascii="Times New Roman" w:hAnsi="Times New Roman"/>
                <w:sz w:val="20"/>
              </w:rPr>
              <w:t>$100</w:t>
            </w:r>
          </w:p>
        </w:tc>
      </w:tr>
      <w:tr>
        <w:tc>
          <w:tcPr>
            <w:tcW w:type="dxa" w:w="2351"/>
          </w:tcPr>
          <w:p>
            <w:pPr>
              <w:jc w:val="left"/>
            </w:pPr>
            <w:r>
              <w:rPr>
                <w:rFonts w:ascii="Times New Roman" w:hAnsi="Times New Roman"/>
                <w:sz w:val="20"/>
              </w:rPr>
              <w:t>Citi</w:t>
            </w:r>
          </w:p>
        </w:tc>
        <w:tc>
          <w:tcPr>
            <w:tcW w:type="dxa" w:w="2351"/>
          </w:tcPr>
          <w:p>
            <w:pPr>
              <w:jc w:val="center"/>
            </w:pPr>
            <w:r>
              <w:rPr>
                <w:rFonts w:ascii="Times New Roman" w:hAnsi="Times New Roman"/>
                <w:sz w:val="20"/>
              </w:rPr>
              <w:t>PT Raised</w:t>
            </w:r>
          </w:p>
        </w:tc>
        <w:tc>
          <w:tcPr>
            <w:tcW w:type="dxa" w:w="2351"/>
          </w:tcPr>
          <w:p>
            <w:pPr>
              <w:jc w:val="center"/>
            </w:pPr>
            <w:r>
              <w:rPr>
                <w:rFonts w:ascii="Times New Roman" w:hAnsi="Times New Roman"/>
                <w:sz w:val="20"/>
              </w:rPr>
              <w:t>$105</w:t>
            </w:r>
          </w:p>
        </w:tc>
        <w:tc>
          <w:tcPr>
            <w:tcW w:type="dxa" w:w="2351"/>
          </w:tcPr>
          <w:p>
            <w:pPr>
              <w:jc w:val="center"/>
            </w:pPr>
            <w:r>
              <w:rPr>
                <w:rFonts w:ascii="Times New Roman" w:hAnsi="Times New Roman"/>
                <w:sz w:val="20"/>
              </w:rPr>
              <w:t>$95</w:t>
            </w:r>
          </w:p>
        </w:tc>
      </w:tr>
      <w:tr>
        <w:tc>
          <w:tcPr>
            <w:tcW w:type="dxa" w:w="2351"/>
          </w:tcPr>
          <w:p>
            <w:pPr>
              <w:jc w:val="left"/>
            </w:pPr>
            <w:r>
              <w:rPr>
                <w:rFonts w:ascii="Times New Roman" w:hAnsi="Times New Roman"/>
                <w:sz w:val="20"/>
              </w:rPr>
              <w:t>Goldman Sachs</w:t>
            </w:r>
          </w:p>
        </w:tc>
        <w:tc>
          <w:tcPr>
            <w:tcW w:type="dxa" w:w="2351"/>
          </w:tcPr>
          <w:p>
            <w:pPr>
              <w:jc w:val="center"/>
            </w:pPr>
            <w:r>
              <w:rPr>
                <w:rFonts w:ascii="Times New Roman" w:hAnsi="Times New Roman"/>
                <w:sz w:val="20"/>
              </w:rPr>
              <w:t>PT Raised</w:t>
            </w:r>
          </w:p>
        </w:tc>
        <w:tc>
          <w:tcPr>
            <w:tcW w:type="dxa" w:w="2351"/>
          </w:tcPr>
          <w:p>
            <w:pPr>
              <w:jc w:val="center"/>
            </w:pPr>
            <w:r>
              <w:rPr>
                <w:rFonts w:ascii="Times New Roman" w:hAnsi="Times New Roman"/>
                <w:sz w:val="20"/>
              </w:rPr>
              <w:t>$100</w:t>
            </w:r>
          </w:p>
        </w:tc>
        <w:tc>
          <w:tcPr>
            <w:tcW w:type="dxa" w:w="2351"/>
          </w:tcPr>
          <w:p>
            <w:pPr>
              <w:jc w:val="center"/>
            </w:pPr>
            <w:r>
              <w:rPr>
                <w:rFonts w:ascii="Times New Roman" w:hAnsi="Times New Roman"/>
                <w:sz w:val="20"/>
              </w:rPr>
              <w:t>$94</w:t>
            </w:r>
          </w:p>
        </w:tc>
      </w:tr>
      <w:tr>
        <w:tc>
          <w:tcPr>
            <w:tcW w:type="dxa" w:w="2351"/>
          </w:tcPr>
          <w:p>
            <w:pPr>
              <w:jc w:val="left"/>
            </w:pPr>
            <w:r>
              <w:rPr>
                <w:rFonts w:ascii="Times New Roman" w:hAnsi="Times New Roman"/>
                <w:sz w:val="20"/>
              </w:rPr>
              <w:t>JPMorgan</w:t>
            </w:r>
          </w:p>
        </w:tc>
        <w:tc>
          <w:tcPr>
            <w:tcW w:type="dxa" w:w="2351"/>
          </w:tcPr>
          <w:p>
            <w:pPr>
              <w:jc w:val="center"/>
            </w:pPr>
            <w:r>
              <w:rPr>
                <w:rFonts w:ascii="Times New Roman" w:hAnsi="Times New Roman"/>
                <w:sz w:val="20"/>
              </w:rPr>
              <w:t>PT Raised</w:t>
            </w:r>
          </w:p>
        </w:tc>
        <w:tc>
          <w:tcPr>
            <w:tcW w:type="dxa" w:w="2351"/>
          </w:tcPr>
          <w:p>
            <w:pPr>
              <w:jc w:val="center"/>
            </w:pPr>
            <w:r>
              <w:rPr>
                <w:rFonts w:ascii="Times New Roman" w:hAnsi="Times New Roman"/>
                <w:sz w:val="20"/>
              </w:rPr>
              <w:t>$97</w:t>
            </w:r>
          </w:p>
        </w:tc>
        <w:tc>
          <w:tcPr>
            <w:tcW w:type="dxa" w:w="2351"/>
          </w:tcPr>
          <w:p>
            <w:pPr>
              <w:jc w:val="center"/>
            </w:pPr>
            <w:r>
              <w:rPr>
                <w:rFonts w:ascii="Times New Roman" w:hAnsi="Times New Roman"/>
                <w:sz w:val="20"/>
              </w:rPr>
              <w:t>$93</w:t>
            </w:r>
          </w:p>
        </w:tc>
      </w:tr>
      <w:tr>
        <w:tc>
          <w:tcPr>
            <w:tcW w:type="dxa" w:w="2351"/>
          </w:tcPr>
          <w:p>
            <w:pPr>
              <w:jc w:val="left"/>
            </w:pPr>
            <w:r>
              <w:rPr>
                <w:rFonts w:ascii="Times New Roman" w:hAnsi="Times New Roman"/>
                <w:sz w:val="20"/>
              </w:rPr>
              <w:t>Piper Sandler</w:t>
            </w:r>
          </w:p>
        </w:tc>
        <w:tc>
          <w:tcPr>
            <w:tcW w:type="dxa" w:w="2351"/>
          </w:tcPr>
          <w:p>
            <w:pPr>
              <w:jc w:val="center"/>
            </w:pPr>
            <w:r>
              <w:rPr>
                <w:rFonts w:ascii="Times New Roman" w:hAnsi="Times New Roman"/>
                <w:sz w:val="20"/>
              </w:rPr>
              <w:t>PT Raised</w:t>
            </w:r>
          </w:p>
        </w:tc>
        <w:tc>
          <w:tcPr>
            <w:tcW w:type="dxa" w:w="2351"/>
          </w:tcPr>
          <w:p>
            <w:pPr>
              <w:jc w:val="center"/>
            </w:pPr>
            <w:r>
              <w:rPr>
                <w:rFonts w:ascii="Times New Roman" w:hAnsi="Times New Roman"/>
                <w:sz w:val="20"/>
              </w:rPr>
              <w:t>$96</w:t>
            </w:r>
          </w:p>
        </w:tc>
        <w:tc>
          <w:tcPr>
            <w:tcW w:type="dxa" w:w="2351"/>
          </w:tcPr>
          <w:p>
            <w:pPr>
              <w:jc w:val="center"/>
            </w:pPr>
            <w:r>
              <w:rPr>
                <w:rFonts w:ascii="Times New Roman" w:hAnsi="Times New Roman"/>
                <w:sz w:val="20"/>
              </w:rPr>
              <w:t>$88</w:t>
            </w:r>
          </w:p>
        </w:tc>
      </w:tr>
      <w:tr>
        <w:tc>
          <w:tcPr>
            <w:tcW w:type="dxa" w:w="2351"/>
          </w:tcPr>
          <w:p>
            <w:pPr>
              <w:jc w:val="left"/>
            </w:pPr>
            <w:r>
              <w:rPr>
                <w:rFonts w:ascii="Times New Roman" w:hAnsi="Times New Roman"/>
                <w:sz w:val="20"/>
              </w:rPr>
              <w:t>UBS</w:t>
            </w:r>
          </w:p>
        </w:tc>
        <w:tc>
          <w:tcPr>
            <w:tcW w:type="dxa" w:w="2351"/>
          </w:tcPr>
          <w:p>
            <w:pPr>
              <w:jc w:val="center"/>
            </w:pPr>
            <w:r>
              <w:rPr>
                <w:rFonts w:ascii="Times New Roman" w:hAnsi="Times New Roman"/>
                <w:sz w:val="20"/>
              </w:rPr>
              <w:t>PT Raised</w:t>
            </w:r>
          </w:p>
        </w:tc>
        <w:tc>
          <w:tcPr>
            <w:tcW w:type="dxa" w:w="2351"/>
          </w:tcPr>
          <w:p>
            <w:pPr>
              <w:jc w:val="center"/>
            </w:pPr>
            <w:r>
              <w:rPr>
                <w:rFonts w:ascii="Times New Roman" w:hAnsi="Times New Roman"/>
                <w:sz w:val="20"/>
              </w:rPr>
              <w:t>$93</w:t>
            </w:r>
          </w:p>
        </w:tc>
        <w:tc>
          <w:tcPr>
            <w:tcW w:type="dxa" w:w="2351"/>
          </w:tcPr>
          <w:p>
            <w:pPr>
              <w:jc w:val="center"/>
            </w:pPr>
            <w:r>
              <w:rPr>
                <w:rFonts w:ascii="Times New Roman" w:hAnsi="Times New Roman"/>
                <w:sz w:val="20"/>
              </w:rPr>
              <w:t>$90</w:t>
            </w:r>
          </w:p>
        </w:tc>
      </w:tr>
    </w:tbl>
    <w:p>
      <w:pPr>
        <w:spacing w:after="240"/>
      </w:pPr>
      <w:r>
        <w:rPr>
          <w:rFonts w:ascii="Times New Roman" w:hAnsi="Times New Roman"/>
          <w:b w:val="0"/>
          <w:i/>
          <w:color w:val="777777"/>
          <w:sz w:val="18"/>
        </w:rPr>
        <w:t>Consensus: 12 Buy / 6 Hold / 1 Sell (19 analysts). Average PT: $96.87.</w:t>
      </w:r>
    </w:p>
    <w:p>
      <w:pPr>
        <w:pStyle w:val="Heading1"/>
      </w:pPr>
      <w:r>
        <w:rPr>
          <w:rFonts w:ascii="Times New Roman" w:hAnsi="Times New Roman"/>
          <w:color w:val="17365D"/>
        </w:rPr>
        <w:t>Sources &amp; References</w:t>
      </w:r>
    </w:p>
    <w:p>
      <w:pPr>
        <w:spacing w:after="80"/>
      </w:pPr>
      <w:r>
        <w:rPr>
          <w:sz w:val="20"/>
        </w:rPr>
        <w:t xml:space="preserve">  </w:t>
      </w:r>
      <w:hyperlink r:id="rId21">
        <w:r>
          <w:rPr>
            <w:rStyle w:val="Hyperlink"/>
            <w:rFonts w:ascii="Times New Roman" w:hAnsi="Times New Roman"/>
          </w:rPr>
          <w:t>Colgate-Palmolive Q4 &amp; FY2025 Earnings Release (January 30, 2026)</w:t>
        </w:r>
      </w:hyperlink>
    </w:p>
    <w:p>
      <w:pPr>
        <w:spacing w:after="80"/>
      </w:pPr>
      <w:r>
        <w:rPr>
          <w:sz w:val="20"/>
        </w:rPr>
        <w:t xml:space="preserve">  </w:t>
      </w:r>
      <w:hyperlink r:id="rId22">
        <w:r>
          <w:rPr>
            <w:rStyle w:val="Hyperlink"/>
            <w:rFonts w:ascii="Times New Roman" w:hAnsi="Times New Roman"/>
          </w:rPr>
          <w:t>Q4 2025 Earnings Call Transcript — Motley Fool</w:t>
        </w:r>
      </w:hyperlink>
    </w:p>
    <w:p>
      <w:pPr>
        <w:spacing w:after="80"/>
      </w:pPr>
      <w:r>
        <w:rPr>
          <w:sz w:val="20"/>
        </w:rPr>
        <w:t xml:space="preserve">  </w:t>
      </w:r>
      <w:hyperlink r:id="rId23">
        <w:r>
          <w:rPr>
            <w:rStyle w:val="Hyperlink"/>
            <w:rFonts w:ascii="Times New Roman" w:hAnsi="Times New Roman"/>
          </w:rPr>
          <w:t>Q3 2025 Earnings Release</w:t>
        </w:r>
      </w:hyperlink>
    </w:p>
    <w:p>
      <w:pPr>
        <w:spacing w:after="80"/>
      </w:pPr>
      <w:r>
        <w:rPr>
          <w:sz w:val="20"/>
        </w:rPr>
        <w:t xml:space="preserve">  </w:t>
      </w:r>
      <w:hyperlink r:id="rId24">
        <w:r>
          <w:rPr>
            <w:rStyle w:val="Hyperlink"/>
            <w:rFonts w:ascii="Times New Roman" w:hAnsi="Times New Roman"/>
          </w:rPr>
          <w:t>Colgate-Palmolive Investor Relations</w:t>
        </w:r>
      </w:hyperlink>
    </w:p>
    <w:p>
      <w:pPr>
        <w:spacing w:after="80"/>
      </w:pPr>
      <w:r>
        <w:rPr>
          <w:sz w:val="20"/>
        </w:rPr>
        <w:t xml:space="preserve">  </w:t>
      </w:r>
      <w:hyperlink r:id="rId25">
        <w:r>
          <w:rPr>
            <w:rStyle w:val="Hyperlink"/>
            <w:rFonts w:ascii="Times New Roman" w:hAnsi="Times New Roman"/>
          </w:rPr>
          <w:t>CL Analyst Forecasts — StockAnalysis.com</w:t>
        </w:r>
      </w:hyperlink>
    </w:p>
    <w:p>
      <w:pPr>
        <w:spacing w:after="80"/>
      </w:pPr>
      <w:r>
        <w:rPr>
          <w:sz w:val="20"/>
        </w:rPr>
        <w:t xml:space="preserve">  </w:t>
      </w:r>
      <w:hyperlink r:id="rId26">
        <w:r>
          <w:rPr>
            <w:rStyle w:val="Hyperlink"/>
            <w:rFonts w:ascii="Times New Roman" w:hAnsi="Times New Roman"/>
          </w:rPr>
          <w:t>Yahoo Finance — CL</w:t>
        </w:r>
      </w:hyperlink>
    </w:p>
    <w:p/>
    <w:p>
      <w:pPr>
        <w:spacing w:after="120"/>
      </w:pPr>
      <w:r>
        <w:rPr>
          <w:rFonts w:ascii="Times New Roman" w:hAnsi="Times New Roman"/>
          <w:b w:val="0"/>
          <w:i/>
          <w:color w:val="777777"/>
          <w:sz w:val="16"/>
        </w:rPr>
        <w:t>DISCLAIMER: This report is for informational purposes only and does not constitute investment advice. All estimates are based on publicly available information and analyst consensus as of the date indicated. Past performance is not indicative of future results. Investors should conduct their own due diligence before making investment decisions.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investor.colgatepalmolive.com/news-releases/news-release-details/colgate-palmolive-company-announces-4th-quarter-and-full-year/" TargetMode="External"/><Relationship Id="rId22" Type="http://schemas.openxmlformats.org/officeDocument/2006/relationships/hyperlink" Target="https://www.fool.com/earnings/call-transcripts/2026/01/30/colgate-palmolive-cl-q4-2025-earnings-transcript/" TargetMode="External"/><Relationship Id="rId23" Type="http://schemas.openxmlformats.org/officeDocument/2006/relationships/hyperlink" Target="https://investor.colgatepalmolive.com/news-releases/news-release-details/colgate-palmolive-company-announces-3rd-quarter-2025-results" TargetMode="External"/><Relationship Id="rId24" Type="http://schemas.openxmlformats.org/officeDocument/2006/relationships/hyperlink" Target="https://investor.colgatepalmolive.com/" TargetMode="External"/><Relationship Id="rId25" Type="http://schemas.openxmlformats.org/officeDocument/2006/relationships/hyperlink" Target="https://stockanalysis.com/stocks/cl/forecast/" TargetMode="External"/><Relationship Id="rId26" Type="http://schemas.openxmlformats.org/officeDocument/2006/relationships/hyperlink" Target="https://finance.yahoo.com/quote/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